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rPr>
          <w:rFonts w:hint="default" w:ascii="Times New Roman" w:hAnsi="Times New Roman" w:eastAsia="方正黑体_GBK" w:cs="方正黑体_GBK"/>
          <w:kern w:val="2"/>
          <w:sz w:val="32"/>
          <w:szCs w:val="32"/>
          <w:lang w:val="en-US" w:eastAsia="zh-CN" w:bidi="ar-SA"/>
        </w:rPr>
      </w:pPr>
      <w:r>
        <w:rPr>
          <w:rFonts w:hint="default" w:ascii="Times New Roman" w:hAnsi="Times New Roman" w:eastAsia="方正黑体_GBK" w:cs="方正黑体_GBK"/>
          <w:kern w:val="2"/>
          <w:sz w:val="32"/>
          <w:szCs w:val="32"/>
          <w:lang w:val="en-US" w:eastAsia="zh-CN" w:bidi="ar-SA"/>
        </w:rPr>
        <w:t>附件</w:t>
      </w:r>
      <w:r>
        <w:rPr>
          <w:rFonts w:hint="eastAsia" w:ascii="Times New Roman" w:hAnsi="Times New Roman" w:cs="方正黑体_GBK"/>
          <w:kern w:val="2"/>
          <w:sz w:val="32"/>
          <w:szCs w:val="32"/>
          <w:lang w:val="en-US" w:eastAsia="zh-CN" w:bidi="ar-SA"/>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20"/>
          <w:szCs w:val="20"/>
        </w:rPr>
      </w:pPr>
      <w:r>
        <w:rPr>
          <w:rFonts w:hint="eastAsia" w:ascii="方正小标宋_GBK" w:hAnsi="方正小标宋_GBK" w:eastAsia="方正小标宋_GBK" w:cs="方正小标宋_GBK"/>
          <w:bCs/>
          <w:sz w:val="36"/>
          <w:szCs w:val="36"/>
          <w:lang w:eastAsia="zh-CN"/>
        </w:rPr>
        <w:t>商业</w:t>
      </w:r>
      <w:r>
        <w:rPr>
          <w:rFonts w:hint="eastAsia" w:ascii="方正小标宋_GBK" w:hAnsi="方正小标宋_GBK" w:eastAsia="方正小标宋_GBK" w:cs="方正小标宋_GBK"/>
          <w:bCs/>
          <w:sz w:val="36"/>
          <w:szCs w:val="36"/>
        </w:rPr>
        <w:t>计划书</w:t>
      </w:r>
      <w:r>
        <w:rPr>
          <w:rFonts w:hint="default" w:ascii="Times New Roman" w:hAnsi="Times New Roman" w:eastAsia="方正楷体_GBK" w:cs="Times New Roman"/>
          <w:bCs/>
          <w:sz w:val="28"/>
          <w:szCs w:val="28"/>
          <w:lang w:eastAsia="zh-CN"/>
        </w:rPr>
        <w:t>（模板）</w:t>
      </w:r>
    </w:p>
    <w:p>
      <w:pPr>
        <w:keepNext w:val="0"/>
        <w:keepLines w:val="0"/>
        <w:pageBreakBefore w:val="0"/>
        <w:widowControl/>
        <w:numPr>
          <w:ilvl w:val="0"/>
          <w:numId w:val="1"/>
        </w:numPr>
        <w:kinsoku/>
        <w:wordWrap/>
        <w:overflowPunct/>
        <w:topLinePunct w:val="0"/>
        <w:autoSpaceDN/>
        <w:bidi w:val="0"/>
        <w:snapToGrid w:val="0"/>
        <w:spacing w:line="560" w:lineRule="exact"/>
        <w:ind w:left="0" w:firstLine="420"/>
        <w:jc w:val="left"/>
        <w:textAlignment w:val="auto"/>
        <w:rPr>
          <w:rFonts w:hint="default" w:ascii="Times New Roman" w:hAnsi="Times New Roman" w:eastAsia="黑体" w:cs="Times New Roman"/>
          <w:sz w:val="28"/>
          <w:szCs w:val="28"/>
          <w:shd w:val="clear" w:color="auto" w:fill="FFFFFF"/>
        </w:rPr>
      </w:pPr>
      <w:r>
        <w:rPr>
          <w:rFonts w:hint="default" w:ascii="Times New Roman" w:hAnsi="Times New Roman" w:eastAsia="黑体" w:cs="Times New Roman"/>
          <w:kern w:val="0"/>
          <w:sz w:val="28"/>
          <w:szCs w:val="28"/>
          <w:shd w:val="clear" w:color="auto" w:fill="FFFFFF"/>
          <w:lang w:bidi="ar"/>
        </w:rPr>
        <w:t>执行摘要</w:t>
      </w:r>
    </w:p>
    <w:tbl>
      <w:tblPr>
        <w:tblStyle w:val="5"/>
        <w:tblW w:w="93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92"/>
        <w:gridCol w:w="2443"/>
        <w:gridCol w:w="1898"/>
        <w:gridCol w:w="976"/>
        <w:gridCol w:w="575"/>
        <w:gridCol w:w="719"/>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76"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公司名称</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5"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注册资金</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5"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4"/>
                <w:szCs w:val="24"/>
                <w:lang w:eastAsia="zh-CN" w:bidi="ar"/>
              </w:rPr>
            </w:pPr>
            <w:r>
              <w:rPr>
                <w:rFonts w:hint="default" w:ascii="Times New Roman" w:hAnsi="Times New Roman" w:eastAsia="黑体" w:cs="Times New Roman"/>
                <w:kern w:val="0"/>
                <w:sz w:val="18"/>
                <w:szCs w:val="18"/>
                <w:lang w:eastAsia="zh-CN" w:bidi="ar"/>
              </w:rPr>
              <w:t>工商登记注册地址</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82"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公司类型</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r>
              <w:rPr>
                <w:rFonts w:hint="default" w:ascii="Times New Roman" w:hAnsi="Times New Roman" w:eastAsia="宋体" w:cs="Times New Roman"/>
                <w:kern w:val="0"/>
                <w:sz w:val="24"/>
                <w:szCs w:val="24"/>
                <w:lang w:bidi="ar"/>
              </w:rPr>
              <w:t xml:space="preserve">□ </w:t>
            </w:r>
            <w:r>
              <w:rPr>
                <w:rFonts w:hint="default" w:ascii="Times New Roman" w:hAnsi="Times New Roman" w:eastAsia="仿宋" w:cs="Times New Roman"/>
                <w:kern w:val="0"/>
                <w:sz w:val="24"/>
                <w:szCs w:val="24"/>
                <w:lang w:bidi="ar"/>
              </w:rPr>
              <w:t>有限责任公司  □ 个体工商户  □ 个人独资企业  □ 合伙企业</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仿宋" w:cs="Times New Roman"/>
                <w:kern w:val="0"/>
                <w:sz w:val="24"/>
                <w:szCs w:val="24"/>
                <w:lang w:bidi="ar"/>
              </w:rPr>
              <w:t>□ 其他_______ （打√选择）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13"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产品/服务概况</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18"/>
                <w:szCs w:val="21"/>
              </w:rPr>
              <w:t>企</w:t>
            </w:r>
            <w:r>
              <w:rPr>
                <w:rFonts w:hint="default" w:ascii="Times New Roman" w:hAnsi="Times New Roman" w:eastAsia="仿宋" w:cs="Times New Roman"/>
                <w:kern w:val="0"/>
                <w:sz w:val="21"/>
                <w:szCs w:val="21"/>
                <w:lang w:bidi="ar"/>
              </w:rPr>
              <w:t>业的宗旨</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bidi="ar"/>
              </w:rPr>
              <w:t>公司的产品</w:t>
            </w:r>
            <w:r>
              <w:rPr>
                <w:rFonts w:hint="eastAsia" w:eastAsia="仿宋" w:cs="Times New Roman"/>
                <w:kern w:val="0"/>
                <w:sz w:val="21"/>
                <w:szCs w:val="21"/>
                <w:shd w:val="clear" w:fill="auto"/>
                <w:lang w:eastAsia="zh-CN" w:bidi="ar"/>
              </w:rPr>
              <w:t>（</w:t>
            </w:r>
            <w:r>
              <w:rPr>
                <w:rFonts w:hint="default" w:ascii="Times New Roman" w:hAnsi="Times New Roman" w:eastAsia="仿宋" w:cs="Times New Roman"/>
                <w:kern w:val="0"/>
                <w:sz w:val="21"/>
                <w:szCs w:val="21"/>
                <w:lang w:bidi="ar"/>
              </w:rPr>
              <w:t>服务</w:t>
            </w:r>
            <w:r>
              <w:rPr>
                <w:rFonts w:hint="eastAsia" w:eastAsia="仿宋" w:cs="Times New Roman"/>
                <w:kern w:val="0"/>
                <w:sz w:val="21"/>
                <w:szCs w:val="21"/>
                <w:shd w:val="clear" w:fill="auto"/>
                <w:lang w:eastAsia="zh-CN" w:bidi="ar"/>
              </w:rPr>
              <w:t>）</w:t>
            </w:r>
            <w:r>
              <w:rPr>
                <w:rFonts w:hint="default" w:ascii="Times New Roman" w:hAnsi="Times New Roman" w:eastAsia="仿宋" w:cs="Times New Roman"/>
                <w:kern w:val="0"/>
                <w:sz w:val="21"/>
                <w:szCs w:val="21"/>
                <w:lang w:bidi="ar"/>
              </w:rPr>
              <w:t>介绍</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bidi="ar"/>
              </w:rPr>
              <w:t>主要发展战略目标和阶段目标</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bidi="ar"/>
              </w:rPr>
              <w:t>描述经营项目的创意来源与可行性，突出产品与服务的新颖性、独特性和可行性，目前所处发展阶段、与同行业其它公司同类技术、产品及服务的比较，本公司技术、产品及服务的新颖性、先进性和独特性，如拥有的专门技术、版权、配方、品牌、销售网络、许可证、专营权、特许权经营等行业优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01"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市场机会</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 w:cs="Times New Roman"/>
                <w:sz w:val="21"/>
                <w:szCs w:val="21"/>
                <w:lang w:eastAsia="zh-CN"/>
              </w:rPr>
            </w:pPr>
            <w:r>
              <w:rPr>
                <w:rFonts w:hint="default" w:ascii="Times New Roman" w:hAnsi="Times New Roman" w:eastAsia="仿宋" w:cs="Times New Roman"/>
                <w:kern w:val="0"/>
                <w:sz w:val="21"/>
                <w:szCs w:val="21"/>
                <w:lang w:bidi="ar"/>
              </w:rPr>
              <w:t>行业分析、顾客分析、上下游产业分析、竞争者分析、竞争优势、替代产品等。指已经出现或即将出现在市场上，但未得到实现或完全实现的市场需求。企业的产品或服务对客户的价值</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bidi="ar"/>
              </w:rPr>
              <w:t>同样的产品是否还没有在市场上出现</w:t>
            </w:r>
            <w:r>
              <w:rPr>
                <w:rFonts w:hint="eastAsia" w:eastAsia="仿宋" w:cs="Times New Roman"/>
                <w:kern w:val="0"/>
                <w:sz w:val="21"/>
                <w:szCs w:val="21"/>
                <w:shd w:val="clear" w:fill="auto"/>
                <w:lang w:eastAsia="zh-CN" w:bidi="ar"/>
              </w:rPr>
              <w:t>？</w:t>
            </w:r>
            <w:r>
              <w:rPr>
                <w:rFonts w:hint="default" w:ascii="Times New Roman" w:hAnsi="Times New Roman" w:eastAsia="仿宋" w:cs="Times New Roman"/>
                <w:kern w:val="0"/>
                <w:sz w:val="21"/>
                <w:szCs w:val="21"/>
                <w:lang w:bidi="ar"/>
              </w:rPr>
              <w:t>为什么</w:t>
            </w:r>
            <w:r>
              <w:rPr>
                <w:rFonts w:hint="eastAsia" w:eastAsia="仿宋" w:cs="Times New Roman"/>
                <w:kern w:val="0"/>
                <w:sz w:val="21"/>
                <w:szCs w:val="21"/>
                <w:shd w:val="clear" w:fill="auto"/>
                <w:lang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42"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商业模式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（盈利模式）</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仿宋" w:cs="Times New Roman"/>
                <w:kern w:val="0"/>
                <w:sz w:val="21"/>
                <w:szCs w:val="21"/>
                <w:lang w:bidi="ar"/>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088"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4"/>
                <w:szCs w:val="24"/>
                <w:lang w:eastAsia="zh-CN" w:bidi="ar"/>
              </w:rPr>
            </w:pPr>
            <w:r>
              <w:rPr>
                <w:rFonts w:hint="default" w:ascii="Times New Roman" w:hAnsi="Times New Roman" w:eastAsia="黑体" w:cs="Times New Roman"/>
                <w:kern w:val="0"/>
                <w:sz w:val="24"/>
                <w:szCs w:val="24"/>
                <w:lang w:eastAsia="zh-CN" w:bidi="ar"/>
              </w:rPr>
              <w:t>吸纳和带动就业</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kern w:val="0"/>
                <w:sz w:val="21"/>
                <w:szCs w:val="21"/>
                <w:lang w:eastAsia="zh-CN" w:bidi="ar"/>
              </w:rPr>
            </w:pPr>
            <w:r>
              <w:rPr>
                <w:rFonts w:hint="default" w:ascii="Times New Roman" w:hAnsi="Times New Roman" w:eastAsia="仿宋" w:cs="Times New Roman"/>
                <w:kern w:val="0"/>
                <w:sz w:val="21"/>
                <w:szCs w:val="21"/>
                <w:lang w:bidi="ar"/>
              </w:rPr>
              <w:t>直接带动就业数量，间接带动创业就业数量</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bidi="ar"/>
              </w:rPr>
              <w:t>预计未来3年将创造就业岗位数量</w:t>
            </w:r>
            <w:r>
              <w:rPr>
                <w:rFonts w:hint="default" w:ascii="Times New Roman" w:hAnsi="Times New Roman" w:eastAsia="仿宋" w:cs="Times New Roman"/>
                <w:kern w:val="0"/>
                <w:sz w:val="21"/>
                <w:szCs w:val="21"/>
                <w:lang w:eastAsia="zh-CN" w:bidi="ar"/>
              </w:rPr>
              <w:t>；带动高校毕业生、退役军人、残疾人、脱贫人口等重点</w:t>
            </w:r>
            <w:r>
              <w:rPr>
                <w:rFonts w:hint="default" w:ascii="Times New Roman" w:hAnsi="Times New Roman" w:eastAsia="仿宋" w:cs="Times New Roman"/>
                <w:kern w:val="0"/>
                <w:sz w:val="21"/>
                <w:szCs w:val="21"/>
                <w:lang w:bidi="ar"/>
              </w:rPr>
              <w:t>群体就业</w:t>
            </w:r>
            <w:r>
              <w:rPr>
                <w:rFonts w:hint="default" w:ascii="Times New Roman" w:hAnsi="Times New Roman" w:eastAsia="仿宋" w:cs="Times New Roman"/>
                <w:kern w:val="0"/>
                <w:sz w:val="21"/>
                <w:szCs w:val="21"/>
                <w:lang w:val="en-US" w:eastAsia="zh-CN" w:bidi="ar"/>
              </w:rPr>
              <w:t>情况</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val="en-US" w:eastAsia="zh-CN" w:bidi="ar"/>
              </w:rPr>
              <w:t>促进员工高质量稳定就业等情况。创意项目填报预测情况。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7"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投资额（</w:t>
            </w:r>
            <w:r>
              <w:rPr>
                <w:rFonts w:hint="eastAsia" w:ascii="Times New Roman" w:hAnsi="Times New Roman" w:eastAsia="黑体" w:cs="Times New Roman"/>
                <w:kern w:val="0"/>
                <w:sz w:val="24"/>
                <w:szCs w:val="24"/>
                <w:lang w:eastAsia="zh-CN" w:bidi="ar"/>
              </w:rPr>
              <w:t>万</w:t>
            </w:r>
            <w:r>
              <w:rPr>
                <w:rFonts w:hint="default" w:ascii="Times New Roman" w:hAnsi="Times New Roman" w:eastAsia="黑体" w:cs="Times New Roman"/>
                <w:kern w:val="0"/>
                <w:sz w:val="24"/>
                <w:szCs w:val="24"/>
                <w:lang w:bidi="ar"/>
              </w:rPr>
              <w:t>元）</w:t>
            </w:r>
          </w:p>
        </w:tc>
        <w:tc>
          <w:tcPr>
            <w:tcW w:w="2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p>
        </w:tc>
        <w:tc>
          <w:tcPr>
            <w:tcW w:w="3449"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投资收益率（第一年）</w:t>
            </w:r>
          </w:p>
        </w:tc>
        <w:tc>
          <w:tcPr>
            <w:tcW w:w="164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exact"/>
        </w:trPr>
        <w:tc>
          <w:tcPr>
            <w:tcW w:w="179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预期净利润（税后利润）</w:t>
            </w:r>
          </w:p>
        </w:tc>
        <w:tc>
          <w:tcPr>
            <w:tcW w:w="244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第一年</w:t>
            </w:r>
          </w:p>
        </w:tc>
        <w:tc>
          <w:tcPr>
            <w:tcW w:w="287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第二年</w:t>
            </w:r>
          </w:p>
        </w:tc>
        <w:tc>
          <w:tcPr>
            <w:tcW w:w="222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第三年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59" w:hRule="exac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szCs w:val="24"/>
              </w:rPr>
            </w:pPr>
          </w:p>
        </w:tc>
        <w:tc>
          <w:tcPr>
            <w:tcW w:w="2443"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sz w:val="24"/>
                <w:szCs w:val="24"/>
              </w:rPr>
            </w:pPr>
          </w:p>
        </w:tc>
        <w:tc>
          <w:tcPr>
            <w:tcW w:w="189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年增长率</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w:t>
            </w:r>
          </w:p>
        </w:tc>
        <w:tc>
          <w:tcPr>
            <w:tcW w:w="129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年增长率</w:t>
            </w:r>
          </w:p>
        </w:tc>
        <w:tc>
          <w:tcPr>
            <w:tcW w:w="9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30" w:hRule="exact"/>
        </w:trPr>
        <w:tc>
          <w:tcPr>
            <w:tcW w:w="179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备  注</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18"/>
                <w:szCs w:val="18"/>
              </w:rPr>
            </w:pPr>
            <w:r>
              <w:rPr>
                <w:rFonts w:hint="default" w:ascii="Times New Roman" w:hAnsi="Times New Roman" w:eastAsia="仿宋" w:cs="Times New Roman"/>
                <w:kern w:val="0"/>
                <w:sz w:val="18"/>
                <w:szCs w:val="18"/>
                <w:lang w:bidi="ar"/>
              </w:rPr>
              <w:t>投资收益率＝净利润÷总投资额×100%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4" w:hRule="atLeas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szCs w:val="24"/>
              </w:rPr>
            </w:pP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18"/>
                <w:szCs w:val="18"/>
              </w:rPr>
            </w:pPr>
            <w:r>
              <w:rPr>
                <w:rFonts w:hint="default" w:ascii="Times New Roman" w:hAnsi="Times New Roman" w:eastAsia="仿宋" w:cs="Times New Roman"/>
                <w:kern w:val="0"/>
                <w:sz w:val="18"/>
                <w:szCs w:val="18"/>
                <w:lang w:bidi="ar"/>
              </w:rPr>
              <w:t>预期净利润－第一年：见</w:t>
            </w:r>
            <w:r>
              <w:rPr>
                <w:rFonts w:hint="default" w:ascii="Times New Roman" w:hAnsi="Times New Roman" w:eastAsia="仿宋" w:cs="Times New Roman"/>
                <w:kern w:val="0"/>
                <w:sz w:val="18"/>
                <w:szCs w:val="18"/>
                <w:shd w:val="clear" w:fill="auto"/>
                <w:lang w:bidi="ar"/>
              </w:rPr>
              <w:t>经营第一年</w:t>
            </w:r>
            <w:r>
              <w:rPr>
                <w:rFonts w:hint="default" w:ascii="Times New Roman" w:hAnsi="Times New Roman" w:eastAsia="仿宋" w:cs="Times New Roman"/>
                <w:kern w:val="0"/>
                <w:sz w:val="18"/>
                <w:szCs w:val="18"/>
                <w:lang w:bidi="ar"/>
              </w:rPr>
              <w:t>利润表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53" w:hRule="atLeas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szCs w:val="24"/>
              </w:rPr>
            </w:pP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18"/>
                <w:szCs w:val="18"/>
              </w:rPr>
            </w:pPr>
            <w:r>
              <w:rPr>
                <w:rFonts w:hint="default" w:ascii="Times New Roman" w:hAnsi="Times New Roman" w:eastAsia="仿宋" w:cs="Times New Roman"/>
                <w:kern w:val="0"/>
                <w:sz w:val="18"/>
                <w:szCs w:val="18"/>
                <w:lang w:bidi="ar"/>
              </w:rPr>
              <w:t>此表中“总投资额”项的金额等于资金需求合计</w:t>
            </w:r>
          </w:p>
        </w:tc>
      </w:tr>
    </w:tbl>
    <w:p>
      <w:pPr>
        <w:keepNext w:val="0"/>
        <w:keepLines w:val="0"/>
        <w:pageBreakBefore w:val="0"/>
        <w:widowControl/>
        <w:kinsoku/>
        <w:wordWrap/>
        <w:overflowPunct/>
        <w:topLinePunct w:val="0"/>
        <w:autoSpaceDN/>
        <w:bidi w:val="0"/>
        <w:snapToGrid w:val="0"/>
        <w:spacing w:line="560" w:lineRule="exact"/>
        <w:jc w:val="left"/>
        <w:textAlignment w:val="auto"/>
        <w:rPr>
          <w:rFonts w:hint="default" w:ascii="Times New Roman" w:hAnsi="Times New Roman" w:eastAsia="黑体" w:cs="Times New Roman"/>
          <w:sz w:val="28"/>
          <w:szCs w:val="28"/>
          <w:shd w:val="clear" w:color="auto" w:fill="FFFFFF"/>
        </w:rPr>
      </w:pPr>
      <w:r>
        <w:rPr>
          <w:rFonts w:hint="default" w:ascii="Times New Roman" w:hAnsi="Times New Roman" w:eastAsia="宋体" w:cs="Times New Roman"/>
          <w:b/>
          <w:sz w:val="28"/>
          <w:szCs w:val="28"/>
          <w:shd w:val="clear" w:color="auto" w:fill="FFFFFF"/>
          <w:lang w:bidi="ar"/>
        </w:rPr>
        <w:br w:type="page"/>
      </w:r>
      <w:r>
        <w:rPr>
          <w:rFonts w:hint="default" w:ascii="Times New Roman" w:hAnsi="Times New Roman" w:eastAsia="黑体" w:cs="Times New Roman"/>
          <w:kern w:val="0"/>
          <w:sz w:val="28"/>
          <w:szCs w:val="28"/>
          <w:shd w:val="clear" w:color="auto" w:fill="FFFFFF"/>
          <w:lang w:bidi="ar"/>
        </w:rPr>
        <w:t>二、市场分析</w:t>
      </w:r>
      <w:bookmarkStart w:id="0" w:name="_Toc234146997"/>
    </w:p>
    <w:bookmarkEnd w:id="0"/>
    <w:tbl>
      <w:tblPr>
        <w:tblStyle w:val="5"/>
        <w:tblW w:w="92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20"/>
        <w:gridCol w:w="7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93"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lang w:bidi="ar"/>
              </w:rPr>
              <w:t>市场定位</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1.产品定位：侧重于产品实体定位质量/成本/特征/性能/可靠性/实用性/款式</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2.竞争定位：确定企业相对</w:t>
            </w:r>
            <w:r>
              <w:rPr>
                <w:rFonts w:hint="eastAsia" w:eastAsia="仿宋" w:cs="Times New Roman"/>
                <w:kern w:val="0"/>
                <w:sz w:val="24"/>
                <w:szCs w:val="24"/>
                <w:shd w:val="clear" w:fill="auto"/>
                <w:lang w:eastAsia="zh-CN" w:bidi="ar"/>
              </w:rPr>
              <w:t>于</w:t>
            </w:r>
            <w:r>
              <w:rPr>
                <w:rFonts w:hint="default" w:ascii="Times New Roman" w:hAnsi="Times New Roman" w:eastAsia="仿宋" w:cs="Times New Roman"/>
                <w:kern w:val="0"/>
                <w:sz w:val="24"/>
                <w:szCs w:val="24"/>
                <w:lang w:bidi="ar"/>
              </w:rPr>
              <w:t>竞争者的市场位置</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3.消费者定位：确定企业的目标顾客群 ，</w:t>
            </w:r>
            <w:r>
              <w:rPr>
                <w:rFonts w:hint="default" w:ascii="Times New Roman" w:hAnsi="Times New Roman" w:eastAsia="仿宋" w:cs="Times New Roman"/>
                <w:kern w:val="0"/>
                <w:sz w:val="24"/>
                <w:szCs w:val="24"/>
                <w:shd w:val="clear" w:fill="auto"/>
                <w:lang w:bidi="ar"/>
              </w:rPr>
              <w:t>指</w:t>
            </w:r>
            <w:r>
              <w:rPr>
                <w:rFonts w:hint="default" w:ascii="Times New Roman" w:hAnsi="Times New Roman" w:eastAsia="仿宋" w:cs="Times New Roman"/>
                <w:kern w:val="0"/>
                <w:sz w:val="24"/>
                <w:szCs w:val="24"/>
                <w:lang w:bidi="ar"/>
              </w:rPr>
              <w:t>你究竟想要把产品卖给谁？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2"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lang w:bidi="ar"/>
              </w:rPr>
              <w:t>目标客户</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可以按照客户年龄、地域、收入、偏好、消费习惯等分类。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8"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lang w:bidi="ar"/>
              </w:rPr>
              <w:t>市场预测</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kern w:val="0"/>
                <w:sz w:val="24"/>
                <w:szCs w:val="24"/>
                <w:lang w:bidi="ar"/>
              </w:rPr>
            </w:pPr>
            <w:r>
              <w:rPr>
                <w:rFonts w:hint="default" w:ascii="Times New Roman" w:hAnsi="Times New Roman" w:eastAsia="宋体" w:cs="Times New Roman"/>
                <w:b/>
                <w:kern w:val="0"/>
                <w:sz w:val="24"/>
                <w:szCs w:val="24"/>
                <w:lang w:bidi="ar"/>
              </w:rPr>
              <w:t>（市场</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lang w:bidi="ar"/>
              </w:rPr>
              <w:t>占有率）</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在已有“市场机会”的基础上着重分析市场容量等市场需求情况及其变化趋势；企业提供的产品或服务所占的市场份额。</w:t>
            </w:r>
          </w:p>
        </w:tc>
      </w:tr>
    </w:tbl>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eastAsia="黑体" w:cs="Times New Roman"/>
          <w:sz w:val="28"/>
          <w:szCs w:val="28"/>
          <w:shd w:val="clear" w:color="auto" w:fill="FFFFFF"/>
        </w:rPr>
      </w:pPr>
      <w:bookmarkStart w:id="1" w:name="_Toc256779581"/>
      <w:r>
        <w:rPr>
          <w:rFonts w:hint="default" w:ascii="Times New Roman" w:hAnsi="Times New Roman" w:eastAsia="黑体" w:cs="Times New Roman"/>
          <w:kern w:val="0"/>
          <w:sz w:val="28"/>
          <w:szCs w:val="28"/>
          <w:shd w:val="clear" w:color="auto" w:fill="FFFFFF"/>
          <w:lang w:bidi="ar"/>
        </w:rPr>
        <w:t>三、营销策略</w:t>
      </w:r>
    </w:p>
    <w:tbl>
      <w:tblPr>
        <w:tblStyle w:val="5"/>
        <w:tblW w:w="92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7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07" w:hRule="atLeast"/>
          <w:jc w:val="center"/>
        </w:trPr>
        <w:tc>
          <w:tcPr>
            <w:tcW w:w="141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营销计划</w:t>
            </w:r>
          </w:p>
        </w:tc>
        <w:tc>
          <w:tcPr>
            <w:tcW w:w="784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54" w:hRule="atLeast"/>
          <w:jc w:val="center"/>
        </w:trPr>
        <w:tc>
          <w:tcPr>
            <w:tcW w:w="141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竞争分析</w:t>
            </w:r>
          </w:p>
        </w:tc>
        <w:tc>
          <w:tcPr>
            <w:tcW w:w="784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kern w:val="0"/>
                <w:sz w:val="24"/>
                <w:szCs w:val="24"/>
                <w:lang w:bidi="ar"/>
              </w:rPr>
              <w:t>列出在本公司目标市场中的1-3个主要竞争者；分析竞争者的优势和劣势</w:t>
            </w:r>
            <w:r>
              <w:rPr>
                <w:rFonts w:hint="default" w:ascii="Times New Roman" w:hAnsi="Times New Roman" w:eastAsia="仿宋" w:cs="Times New Roman"/>
                <w:kern w:val="0"/>
                <w:sz w:val="24"/>
                <w:szCs w:val="24"/>
                <w:lang w:eastAsia="zh-CN" w:bidi="ar"/>
              </w:rPr>
              <w:t>，突出自身</w:t>
            </w:r>
            <w:r>
              <w:rPr>
                <w:rFonts w:hint="default" w:ascii="Times New Roman" w:hAnsi="Times New Roman" w:eastAsia="仿宋" w:cs="Times New Roman"/>
                <w:sz w:val="24"/>
                <w:szCs w:val="24"/>
              </w:rPr>
              <w:t>项目技术</w:t>
            </w:r>
            <w:r>
              <w:rPr>
                <w:rFonts w:hint="default" w:ascii="Times New Roman" w:hAnsi="Times New Roman" w:eastAsia="仿宋" w:cs="Times New Roman"/>
                <w:sz w:val="24"/>
                <w:szCs w:val="24"/>
                <w:lang w:eastAsia="zh-CN"/>
              </w:rPr>
              <w:t>或服务的</w:t>
            </w:r>
            <w:r>
              <w:rPr>
                <w:rFonts w:hint="default" w:ascii="Times New Roman" w:hAnsi="Times New Roman" w:eastAsia="仿宋" w:cs="Times New Roman"/>
                <w:sz w:val="24"/>
                <w:szCs w:val="24"/>
              </w:rPr>
              <w:t>独特性</w:t>
            </w:r>
            <w:r>
              <w:rPr>
                <w:rFonts w:hint="default" w:ascii="Times New Roman" w:hAnsi="Times New Roman" w:eastAsia="仿宋" w:cs="Times New Roman"/>
                <w:sz w:val="24"/>
                <w:szCs w:val="24"/>
                <w:lang w:eastAsia="zh-CN"/>
              </w:rPr>
              <w:t>。</w:t>
            </w:r>
          </w:p>
          <w:p>
            <w:pPr>
              <w:keepNext w:val="0"/>
              <w:keepLines w:val="0"/>
              <w:pageBreakBefore w:val="0"/>
              <w:widowControl/>
              <w:kinsoku/>
              <w:wordWrap/>
              <w:overflowPunct/>
              <w:topLinePunct w:val="0"/>
              <w:autoSpaceDE/>
              <w:autoSpaceDN/>
              <w:bidi w:val="0"/>
              <w:adjustRightInd/>
              <w:spacing w:line="400" w:lineRule="exact"/>
              <w:jc w:val="both"/>
              <w:textAlignment w:val="auto"/>
              <w:rPr>
                <w:rFonts w:hint="default" w:ascii="Times New Roman" w:hAnsi="Times New Roman" w:eastAsia="仿宋" w:cs="Times New Roman"/>
                <w:sz w:val="24"/>
                <w:szCs w:val="24"/>
              </w:rPr>
            </w:pP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4"/>
                <w:szCs w:val="24"/>
              </w:rPr>
            </w:pPr>
          </w:p>
        </w:tc>
      </w:tr>
    </w:tbl>
    <w:p>
      <w:pPr>
        <w:keepNext w:val="0"/>
        <w:keepLines w:val="0"/>
        <w:pageBreakBefore w:val="0"/>
        <w:widowControl/>
        <w:kinsoku/>
        <w:wordWrap/>
        <w:overflowPunct/>
        <w:topLinePunct w:val="0"/>
        <w:autoSpaceDN/>
        <w:bidi w:val="0"/>
        <w:snapToGrid w:val="0"/>
        <w:spacing w:line="560" w:lineRule="exact"/>
        <w:jc w:val="left"/>
        <w:textAlignment w:val="auto"/>
        <w:rPr>
          <w:rFonts w:hint="default" w:ascii="Times New Roman" w:hAnsi="Times New Roman" w:eastAsia="黑体" w:cs="Times New Roman"/>
          <w:sz w:val="28"/>
          <w:szCs w:val="28"/>
          <w:shd w:val="clear" w:color="auto" w:fill="FFFFFF"/>
        </w:rPr>
      </w:pPr>
      <w:r>
        <w:rPr>
          <w:rFonts w:hint="default" w:ascii="Times New Roman" w:hAnsi="Times New Roman" w:eastAsia="黑体" w:cs="Times New Roman"/>
          <w:kern w:val="0"/>
          <w:sz w:val="28"/>
          <w:szCs w:val="28"/>
          <w:shd w:val="clear" w:color="auto" w:fill="FFFFFF"/>
          <w:lang w:bidi="ar"/>
        </w:rPr>
        <w:t>四、管理团队</w:t>
      </w:r>
    </w:p>
    <w:bookmarkEnd w:id="1"/>
    <w:tbl>
      <w:tblPr>
        <w:tblStyle w:val="5"/>
        <w:tblW w:w="920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66"/>
        <w:gridCol w:w="1080"/>
        <w:gridCol w:w="1080"/>
        <w:gridCol w:w="1800"/>
        <w:gridCol w:w="1800"/>
        <w:gridCol w:w="23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7" w:hRule="atLeas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姓名</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年龄</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职务</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学历及专业</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主要工作经历</w:t>
            </w: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优势专长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sz w:val="24"/>
                <w:szCs w:val="24"/>
              </w:rPr>
            </w:pPr>
          </w:p>
        </w:tc>
      </w:tr>
    </w:tbl>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eastAsia="黑体" w:cs="Times New Roman"/>
          <w:sz w:val="28"/>
          <w:szCs w:val="28"/>
          <w:shd w:val="clear" w:color="auto" w:fill="FFFFFF"/>
        </w:rPr>
      </w:pPr>
      <w:r>
        <w:rPr>
          <w:rFonts w:hint="default" w:ascii="Times New Roman" w:hAnsi="Times New Roman" w:eastAsia="宋体" w:cs="Times New Roman"/>
          <w:b/>
          <w:sz w:val="28"/>
          <w:szCs w:val="28"/>
          <w:shd w:val="clear" w:color="auto" w:fill="FFFFFF"/>
          <w:lang w:bidi="ar"/>
        </w:rPr>
        <w:br w:type="page"/>
      </w:r>
      <w:r>
        <w:rPr>
          <w:rFonts w:hint="default" w:ascii="Times New Roman" w:hAnsi="Times New Roman" w:eastAsia="黑体" w:cs="Times New Roman"/>
          <w:kern w:val="0"/>
          <w:sz w:val="28"/>
          <w:szCs w:val="28"/>
          <w:shd w:val="clear" w:color="auto" w:fill="FFFFFF"/>
          <w:lang w:bidi="ar"/>
        </w:rPr>
        <w:t>五、财务分析报告</w:t>
      </w:r>
      <w:bookmarkStart w:id="2" w:name="_Toc256779598"/>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eastAsia="宋体" w:cs="Times New Roman"/>
          <w:sz w:val="24"/>
          <w:szCs w:val="24"/>
          <w:shd w:val="clear" w:color="auto" w:fill="FFFFFF"/>
        </w:rPr>
      </w:pPr>
      <w:r>
        <w:rPr>
          <w:rFonts w:hint="default" w:ascii="Times New Roman" w:hAnsi="Times New Roman" w:eastAsia="宋体" w:cs="Times New Roman"/>
          <w:b/>
          <w:kern w:val="0"/>
          <w:sz w:val="24"/>
          <w:szCs w:val="24"/>
          <w:shd w:val="clear" w:color="auto" w:fill="FFFFFF"/>
          <w:lang w:bidi="ar"/>
        </w:rPr>
        <w:t xml:space="preserve">1.启动资金来源                                           </w:t>
      </w:r>
      <w:r>
        <w:rPr>
          <w:rFonts w:hint="default" w:ascii="Times New Roman" w:hAnsi="Times New Roman" w:eastAsia="宋体" w:cs="Times New Roman"/>
          <w:kern w:val="0"/>
          <w:sz w:val="24"/>
          <w:szCs w:val="24"/>
          <w:shd w:val="clear" w:color="auto" w:fill="FFFFFF"/>
          <w:lang w:bidi="ar"/>
        </w:rPr>
        <w:t xml:space="preserve">  单位：万元</w:t>
      </w:r>
      <w:bookmarkEnd w:id="2"/>
    </w:p>
    <w:tbl>
      <w:tblPr>
        <w:tblStyle w:val="5"/>
        <w:tblW w:w="8693" w:type="dxa"/>
        <w:jc w:val="center"/>
        <w:tblInd w:w="0" w:type="dxa"/>
        <w:tblLayout w:type="fixed"/>
        <w:tblCellMar>
          <w:top w:w="0" w:type="dxa"/>
          <w:left w:w="108" w:type="dxa"/>
          <w:bottom w:w="0" w:type="dxa"/>
          <w:right w:w="108" w:type="dxa"/>
        </w:tblCellMar>
      </w:tblPr>
      <w:tblGrid>
        <w:gridCol w:w="1517"/>
        <w:gridCol w:w="2341"/>
        <w:gridCol w:w="2451"/>
        <w:gridCol w:w="2384"/>
      </w:tblGrid>
      <w:tr>
        <w:tblPrEx>
          <w:tblLayout w:type="fixed"/>
          <w:tblCellMar>
            <w:top w:w="0" w:type="dxa"/>
            <w:left w:w="108" w:type="dxa"/>
            <w:bottom w:w="0" w:type="dxa"/>
            <w:right w:w="108" w:type="dxa"/>
          </w:tblCellMar>
        </w:tblPrEx>
        <w:trPr>
          <w:trHeight w:val="397" w:hRule="exact"/>
          <w:jc w:val="center"/>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筹资渠道</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资金提供方</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金额</w:t>
            </w: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占投资总额比例</w:t>
            </w:r>
          </w:p>
        </w:tc>
      </w:tr>
      <w:tr>
        <w:tblPrEx>
          <w:tblLayout w:type="fixed"/>
          <w:tblCellMar>
            <w:top w:w="0" w:type="dxa"/>
            <w:left w:w="108" w:type="dxa"/>
            <w:bottom w:w="0" w:type="dxa"/>
            <w:right w:w="108" w:type="dxa"/>
          </w:tblCellMar>
        </w:tblPrEx>
        <w:trPr>
          <w:trHeight w:val="397" w:hRule="exact"/>
          <w:jc w:val="center"/>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自有资金</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股东</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w:t>
            </w:r>
          </w:p>
        </w:tc>
      </w:tr>
      <w:tr>
        <w:tblPrEx>
          <w:tblLayout w:type="fixed"/>
          <w:tblCellMar>
            <w:top w:w="0" w:type="dxa"/>
            <w:left w:w="108" w:type="dxa"/>
            <w:bottom w:w="0" w:type="dxa"/>
            <w:right w:w="108" w:type="dxa"/>
          </w:tblCellMar>
        </w:tblPrEx>
        <w:trPr>
          <w:trHeight w:val="397" w:hRule="exact"/>
          <w:jc w:val="center"/>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私人拆借</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亲属、朋友</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w:t>
            </w:r>
          </w:p>
        </w:tc>
      </w:tr>
      <w:tr>
        <w:tblPrEx>
          <w:tblLayout w:type="fixed"/>
          <w:tblCellMar>
            <w:top w:w="0" w:type="dxa"/>
            <w:left w:w="108" w:type="dxa"/>
            <w:bottom w:w="0" w:type="dxa"/>
            <w:right w:w="108" w:type="dxa"/>
          </w:tblCellMar>
        </w:tblPrEx>
        <w:trPr>
          <w:trHeight w:val="397" w:hRule="exact"/>
          <w:jc w:val="center"/>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银行贷款</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银行</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w:t>
            </w:r>
          </w:p>
        </w:tc>
      </w:tr>
      <w:tr>
        <w:tblPrEx>
          <w:tblLayout w:type="fixed"/>
          <w:tblCellMar>
            <w:top w:w="0" w:type="dxa"/>
            <w:left w:w="108" w:type="dxa"/>
            <w:bottom w:w="0" w:type="dxa"/>
            <w:right w:w="108" w:type="dxa"/>
          </w:tblCellMar>
        </w:tblPrEx>
        <w:trPr>
          <w:trHeight w:val="397" w:hRule="exact"/>
          <w:jc w:val="center"/>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政府小额贷款</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政府相关部门</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w:t>
            </w:r>
          </w:p>
        </w:tc>
      </w:tr>
      <w:tr>
        <w:tblPrEx>
          <w:tblLayout w:type="fixed"/>
          <w:tblCellMar>
            <w:top w:w="0" w:type="dxa"/>
            <w:left w:w="108" w:type="dxa"/>
            <w:bottom w:w="0" w:type="dxa"/>
            <w:right w:w="108" w:type="dxa"/>
          </w:tblCellMar>
        </w:tblPrEx>
        <w:trPr>
          <w:trHeight w:val="397" w:hRule="exact"/>
          <w:jc w:val="center"/>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总计</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w:t>
            </w:r>
          </w:p>
        </w:tc>
      </w:tr>
    </w:tbl>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eastAsia="宋体" w:cs="Times New Roman"/>
          <w:sz w:val="24"/>
          <w:szCs w:val="24"/>
          <w:shd w:val="clear" w:color="auto" w:fill="FFFFFF"/>
        </w:rPr>
      </w:pPr>
      <w:r>
        <w:rPr>
          <w:rFonts w:hint="default" w:ascii="Times New Roman" w:hAnsi="Times New Roman" w:eastAsia="宋体" w:cs="Times New Roman"/>
          <w:b/>
          <w:kern w:val="0"/>
          <w:sz w:val="24"/>
          <w:szCs w:val="24"/>
          <w:shd w:val="clear" w:color="auto" w:fill="FFFFFF"/>
          <w:lang w:bidi="ar"/>
        </w:rPr>
        <w:t>2.最近年度利润（创</w:t>
      </w:r>
      <w:r>
        <w:rPr>
          <w:rFonts w:hint="default" w:ascii="Times New Roman" w:hAnsi="Times New Roman" w:eastAsia="宋体" w:cs="Times New Roman"/>
          <w:b/>
          <w:kern w:val="0"/>
          <w:sz w:val="24"/>
          <w:szCs w:val="24"/>
          <w:shd w:val="clear" w:color="auto" w:fill="FFFFFF"/>
          <w:lang w:eastAsia="zh-CN" w:bidi="ar"/>
        </w:rPr>
        <w:t>意项目</w:t>
      </w:r>
      <w:r>
        <w:rPr>
          <w:rFonts w:hint="default" w:ascii="Times New Roman" w:hAnsi="Times New Roman" w:eastAsia="宋体" w:cs="Times New Roman"/>
          <w:b/>
          <w:kern w:val="0"/>
          <w:sz w:val="24"/>
          <w:szCs w:val="24"/>
          <w:shd w:val="clear" w:color="auto" w:fill="FFFFFF"/>
          <w:lang w:bidi="ar"/>
        </w:rPr>
        <w:t xml:space="preserve">可不填）            </w:t>
      </w:r>
      <w:r>
        <w:rPr>
          <w:rFonts w:hint="default" w:ascii="Times New Roman" w:hAnsi="Times New Roman" w:eastAsia="宋体" w:cs="Times New Roman"/>
          <w:kern w:val="0"/>
          <w:sz w:val="24"/>
          <w:szCs w:val="24"/>
          <w:shd w:val="clear" w:color="auto" w:fill="FFFFFF"/>
          <w:lang w:bidi="ar"/>
        </w:rPr>
        <w:t xml:space="preserve">               单位：万元</w:t>
      </w:r>
    </w:p>
    <w:tbl>
      <w:tblPr>
        <w:tblStyle w:val="5"/>
        <w:tblW w:w="882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24"/>
        <w:gridCol w:w="3056"/>
        <w:gridCol w:w="1080"/>
        <w:gridCol w:w="1080"/>
        <w:gridCol w:w="1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55" w:hRule="atLeast"/>
          <w:jc w:val="center"/>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项  目</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eastAsia" w:ascii="Times New Roman" w:hAnsi="Times New Roman" w:eastAsia="宋体" w:cs="Times New Roman"/>
                <w:b/>
                <w:kern w:val="0"/>
                <w:sz w:val="21"/>
                <w:szCs w:val="21"/>
                <w:lang w:val="en-US" w:eastAsia="zh-CN" w:bidi="ar"/>
              </w:rPr>
              <w:t>2021</w:t>
            </w:r>
            <w:r>
              <w:rPr>
                <w:rFonts w:hint="default" w:ascii="Times New Roman" w:hAnsi="Times New Roman" w:eastAsia="宋体" w:cs="Times New Roman"/>
                <w:b/>
                <w:kern w:val="0"/>
                <w:sz w:val="21"/>
                <w:szCs w:val="21"/>
                <w:lang w:bidi="ar"/>
              </w:rPr>
              <w:t>年期末余额</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eastAsia" w:ascii="Times New Roman" w:hAnsi="Times New Roman" w:eastAsia="宋体" w:cs="Times New Roman"/>
                <w:b/>
                <w:kern w:val="0"/>
                <w:sz w:val="21"/>
                <w:szCs w:val="21"/>
                <w:lang w:val="en-US" w:eastAsia="zh-CN" w:bidi="ar"/>
              </w:rPr>
              <w:t>20</w:t>
            </w:r>
            <w:r>
              <w:rPr>
                <w:rFonts w:hint="default" w:ascii="Times New Roman" w:hAnsi="Times New Roman" w:eastAsia="宋体" w:cs="Times New Roman"/>
                <w:b/>
                <w:kern w:val="0"/>
                <w:sz w:val="21"/>
                <w:szCs w:val="21"/>
                <w:lang w:bidi="ar"/>
              </w:rPr>
              <w:t>2</w:t>
            </w:r>
            <w:r>
              <w:rPr>
                <w:rFonts w:hint="eastAsia" w:ascii="Times New Roman" w:hAnsi="Times New Roman" w:eastAsia="宋体" w:cs="Times New Roman"/>
                <w:b/>
                <w:kern w:val="0"/>
                <w:sz w:val="21"/>
                <w:szCs w:val="21"/>
                <w:lang w:val="en-US" w:eastAsia="zh-CN" w:bidi="ar"/>
              </w:rPr>
              <w:t>2</w:t>
            </w:r>
            <w:r>
              <w:rPr>
                <w:rFonts w:hint="default" w:ascii="Times New Roman" w:hAnsi="Times New Roman" w:eastAsia="宋体" w:cs="Times New Roman"/>
                <w:b/>
                <w:kern w:val="0"/>
                <w:sz w:val="21"/>
                <w:szCs w:val="21"/>
                <w:lang w:bidi="ar"/>
              </w:rPr>
              <w:t>年期末余额</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eastAsia" w:ascii="Times New Roman" w:hAnsi="Times New Roman" w:eastAsia="宋体" w:cs="Times New Roman"/>
                <w:b/>
                <w:kern w:val="0"/>
                <w:sz w:val="21"/>
                <w:szCs w:val="21"/>
                <w:lang w:val="en-US" w:eastAsia="zh-CN" w:bidi="ar"/>
              </w:rPr>
              <w:t>2023</w:t>
            </w:r>
            <w:r>
              <w:rPr>
                <w:rFonts w:hint="default" w:ascii="Times New Roman" w:hAnsi="Times New Roman" w:eastAsia="宋体" w:cs="Times New Roman"/>
                <w:b/>
                <w:kern w:val="0"/>
                <w:sz w:val="21"/>
                <w:szCs w:val="21"/>
                <w:lang w:bidi="ar"/>
              </w:rPr>
              <w:t>年</w:t>
            </w:r>
            <w:r>
              <w:rPr>
                <w:rFonts w:hint="eastAsia" w:ascii="Times New Roman" w:hAnsi="Times New Roman" w:eastAsia="宋体" w:cs="Times New Roman"/>
                <w:b/>
                <w:kern w:val="0"/>
                <w:sz w:val="21"/>
                <w:szCs w:val="21"/>
                <w:lang w:val="en-US" w:eastAsia="zh-CN" w:bidi="ar"/>
              </w:rPr>
              <w:t>8月</w:t>
            </w:r>
            <w:r>
              <w:rPr>
                <w:rFonts w:hint="default" w:ascii="Times New Roman" w:hAnsi="Times New Roman" w:eastAsia="宋体" w:cs="Times New Roman"/>
                <w:b/>
                <w:kern w:val="0"/>
                <w:sz w:val="21"/>
                <w:szCs w:val="21"/>
                <w:lang w:bidi="ar"/>
              </w:rPr>
              <w:t>期末余额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一、主营业务收入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加：其他收入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25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减：主营业务成本</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生产/采购成本</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营业税金及附加(按5.5%计算)</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25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变动销售费用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销售提成</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边际贡献率</w:t>
            </w:r>
            <w:r>
              <w:rPr>
                <w:rFonts w:hint="eastAsia" w:eastAsia="仿宋" w:cs="Times New Roman"/>
                <w:kern w:val="0"/>
                <w:sz w:val="21"/>
                <w:szCs w:val="21"/>
                <w:shd w:val="clear" w:fill="auto"/>
                <w:lang w:eastAsia="zh-CN" w:bidi="ar"/>
              </w:rPr>
              <w:t>（</w:t>
            </w:r>
            <w:r>
              <w:rPr>
                <w:rFonts w:hint="default" w:ascii="Times New Roman" w:hAnsi="Times New Roman" w:eastAsia="仿宋" w:cs="Times New Roman"/>
                <w:kern w:val="0"/>
                <w:sz w:val="21"/>
                <w:szCs w:val="21"/>
                <w:lang w:bidi="ar"/>
              </w:rPr>
              <w:t>%</w:t>
            </w:r>
            <w:r>
              <w:rPr>
                <w:rFonts w:hint="eastAsia" w:eastAsia="仿宋" w:cs="Times New Roman"/>
                <w:kern w:val="0"/>
                <w:sz w:val="21"/>
                <w:szCs w:val="21"/>
                <w:shd w:val="clear" w:fill="auto"/>
                <w:lang w:eastAsia="zh-CN" w:bidi="ar"/>
              </w:rPr>
              <w:t>）</w:t>
            </w:r>
            <w:r>
              <w:rPr>
                <w:rFonts w:hint="default" w:ascii="Times New Roman" w:hAnsi="Times New Roman" w:eastAsia="仿宋" w:cs="Times New Roman"/>
                <w:kern w:val="0"/>
                <w:sz w:val="21"/>
                <w:szCs w:val="21"/>
                <w:lang w:bidi="ar"/>
              </w:rPr>
              <w:t>=（主营业务收入-主营业务成本-营业税金-销售提成）/主营业务收入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25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固定销售费用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宣传推广费</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2524"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管理费用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场地租金</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员工薪酬</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办公用品及耗材</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水、电、交通差旅费</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固定资产折旧</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其他管理费用</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25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财务费用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利息支出</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二、营业利润</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shd w:val="clear" w:fill="auto"/>
                <w:lang w:bidi="ar"/>
              </w:rPr>
              <w:t>减</w:t>
            </w:r>
            <w:r>
              <w:rPr>
                <w:rFonts w:hint="default" w:ascii="Times New Roman" w:hAnsi="Times New Roman" w:eastAsia="仿宋" w:cs="Times New Roman"/>
                <w:kern w:val="0"/>
                <w:sz w:val="21"/>
                <w:szCs w:val="21"/>
                <w:lang w:bidi="ar"/>
              </w:rPr>
              <w:t>：所得税费用（按25％计算）</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三、净利润</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备注：员工薪酬包括企业主薪酬和职工薪酬，本计划书所提到的员工薪酬都符合该条件。</w:t>
            </w:r>
          </w:p>
        </w:tc>
      </w:tr>
    </w:tbl>
    <w:p>
      <w:pPr>
        <w:keepNext w:val="0"/>
        <w:keepLines w:val="0"/>
        <w:pageBreakBefore w:val="0"/>
        <w:widowControl/>
        <w:numPr>
          <w:ilvl w:val="0"/>
          <w:numId w:val="2"/>
        </w:numPr>
        <w:kinsoku/>
        <w:wordWrap/>
        <w:overflowPunct/>
        <w:topLinePunct w:val="0"/>
        <w:autoSpaceDN/>
        <w:bidi w:val="0"/>
        <w:snapToGrid w:val="0"/>
        <w:spacing w:line="560" w:lineRule="exact"/>
        <w:jc w:val="left"/>
        <w:textAlignment w:val="auto"/>
        <w:rPr>
          <w:rFonts w:hint="default" w:ascii="Times New Roman" w:hAnsi="Times New Roman" w:eastAsia="宋体" w:cs="Times New Roman"/>
          <w:b/>
          <w:kern w:val="0"/>
          <w:sz w:val="24"/>
          <w:szCs w:val="24"/>
          <w:shd w:val="clear" w:color="auto" w:fill="FFFFFF"/>
          <w:lang w:bidi="ar"/>
        </w:rPr>
      </w:pPr>
      <w:r>
        <w:rPr>
          <w:rFonts w:hint="default" w:ascii="Times New Roman" w:hAnsi="Times New Roman" w:eastAsia="宋体" w:cs="Times New Roman"/>
          <w:b/>
          <w:kern w:val="0"/>
          <w:sz w:val="24"/>
          <w:szCs w:val="24"/>
          <w:shd w:val="clear" w:color="auto" w:fill="FFFFFF"/>
          <w:lang w:bidi="ar"/>
        </w:rPr>
        <w:t xml:space="preserve">利润预测           </w:t>
      </w:r>
    </w:p>
    <w:p>
      <w:pPr>
        <w:keepNext w:val="0"/>
        <w:keepLines w:val="0"/>
        <w:pageBreakBefore w:val="0"/>
        <w:widowControl/>
        <w:kinsoku/>
        <w:wordWrap/>
        <w:overflowPunct/>
        <w:topLinePunct w:val="0"/>
        <w:autoSpaceDN/>
        <w:bidi w:val="0"/>
        <w:snapToGrid w:val="0"/>
        <w:spacing w:line="560" w:lineRule="exact"/>
        <w:jc w:val="left"/>
        <w:textAlignment w:val="auto"/>
        <w:rPr>
          <w:rFonts w:hint="default" w:ascii="Times New Roman" w:hAnsi="Times New Roman" w:eastAsia="宋体" w:cs="Times New Roman"/>
          <w:sz w:val="24"/>
          <w:szCs w:val="24"/>
          <w:shd w:val="clear" w:color="auto" w:fill="FFFFFF"/>
        </w:rPr>
      </w:pPr>
      <w:r>
        <w:rPr>
          <w:rFonts w:hint="default" w:ascii="Times New Roman" w:hAnsi="Times New Roman" w:eastAsia="宋体" w:cs="Times New Roman"/>
          <w:b/>
          <w:kern w:val="0"/>
          <w:sz w:val="24"/>
          <w:szCs w:val="24"/>
          <w:shd w:val="clear" w:color="auto" w:fill="FFFFFF"/>
          <w:lang w:bidi="ar"/>
        </w:rPr>
        <w:t xml:space="preserve">  </w:t>
      </w:r>
      <w:r>
        <w:rPr>
          <w:rFonts w:hint="default" w:ascii="Times New Roman" w:hAnsi="Times New Roman" w:eastAsia="宋体" w:cs="Times New Roman"/>
          <w:kern w:val="0"/>
          <w:sz w:val="24"/>
          <w:szCs w:val="24"/>
          <w:shd w:val="clear" w:color="auto" w:fill="FFFFFF"/>
          <w:lang w:bidi="ar"/>
        </w:rPr>
        <w:t>单位：万元</w:t>
      </w:r>
    </w:p>
    <w:tbl>
      <w:tblPr>
        <w:tblStyle w:val="5"/>
        <w:tblW w:w="892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632"/>
        <w:gridCol w:w="2367"/>
        <w:gridCol w:w="1481"/>
        <w:gridCol w:w="108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项  目</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202</w:t>
            </w:r>
            <w:r>
              <w:rPr>
                <w:rFonts w:hint="eastAsia" w:ascii="Times New Roman" w:hAnsi="Times New Roman" w:eastAsia="宋体" w:cs="Times New Roman"/>
                <w:b/>
                <w:kern w:val="0"/>
                <w:sz w:val="21"/>
                <w:szCs w:val="21"/>
                <w:lang w:val="en-US" w:eastAsia="zh-CN" w:bidi="ar"/>
              </w:rPr>
              <w:t>3</w:t>
            </w:r>
            <w:r>
              <w:rPr>
                <w:rFonts w:hint="default" w:ascii="Times New Roman" w:hAnsi="Times New Roman" w:eastAsia="宋体" w:cs="Times New Roman"/>
                <w:b/>
                <w:kern w:val="0"/>
                <w:sz w:val="21"/>
                <w:szCs w:val="21"/>
                <w:lang w:bidi="ar"/>
              </w:rPr>
              <w:t>年</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2024年</w:t>
            </w: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202</w:t>
            </w:r>
            <w:r>
              <w:rPr>
                <w:rFonts w:hint="eastAsia" w:ascii="Times New Roman" w:hAnsi="Times New Roman" w:eastAsia="宋体" w:cs="Times New Roman"/>
                <w:b/>
                <w:kern w:val="0"/>
                <w:sz w:val="21"/>
                <w:szCs w:val="21"/>
                <w:lang w:val="en-US" w:eastAsia="zh-CN" w:bidi="ar"/>
              </w:rPr>
              <w:t>5</w:t>
            </w:r>
            <w:r>
              <w:rPr>
                <w:rFonts w:hint="default" w:ascii="Times New Roman" w:hAnsi="Times New Roman" w:eastAsia="宋体" w:cs="Times New Roman"/>
                <w:b/>
                <w:kern w:val="0"/>
                <w:sz w:val="21"/>
                <w:szCs w:val="21"/>
                <w:lang w:bidi="ar"/>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一、主营业务收入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加：其他收入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减：主营业务成本</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生产/采购成本</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营业税金及附加(按5.5%计算)</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变动销售费用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销售提成</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99" w:hRule="atLeas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边际贡献率(%)=（主营业务收入-主营业务成本-营业税金-销售提成）/主营业务收入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固定销售费用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宣传推广费</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管理费用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场地租金</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员工薪酬</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办公用品及耗材</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水、电、交通差旅费</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固定资产折旧</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其他管理费用</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财务费用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利息支出</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二、营业利润</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shd w:val="clear" w:fill="auto"/>
                <w:lang w:bidi="ar"/>
              </w:rPr>
              <w:t>减</w:t>
            </w:r>
            <w:r>
              <w:rPr>
                <w:rFonts w:hint="default" w:ascii="Times New Roman" w:hAnsi="Times New Roman" w:eastAsia="仿宋" w:cs="Times New Roman"/>
                <w:kern w:val="0"/>
                <w:sz w:val="21"/>
                <w:szCs w:val="21"/>
                <w:lang w:bidi="ar"/>
              </w:rPr>
              <w:t>：所得税费用（按25％计算）</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三、净利润</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926"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备注：员工薪酬包括企业主薪酬和职工薪酬，本计划书所提到的员工薪酬都符合该条件。</w:t>
            </w:r>
          </w:p>
        </w:tc>
      </w:tr>
    </w:tbl>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eastAsia="宋体" w:cs="Times New Roman"/>
          <w:b/>
          <w:sz w:val="28"/>
          <w:szCs w:val="28"/>
          <w:shd w:val="clear" w:color="auto" w:fill="FFFFFF"/>
          <w:lang w:bidi="ar"/>
        </w:rPr>
      </w:pP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eastAsia="黑体" w:cs="Times New Roman"/>
          <w:sz w:val="28"/>
          <w:szCs w:val="28"/>
          <w:shd w:val="clear" w:color="auto" w:fill="FFFFFF"/>
        </w:rPr>
      </w:pPr>
      <w:r>
        <w:rPr>
          <w:rFonts w:hint="default" w:ascii="Times New Roman" w:hAnsi="Times New Roman" w:eastAsia="宋体" w:cs="Times New Roman"/>
          <w:b/>
          <w:sz w:val="28"/>
          <w:szCs w:val="28"/>
          <w:shd w:val="clear" w:color="auto" w:fill="FFFFFF"/>
          <w:lang w:bidi="ar"/>
        </w:rPr>
        <w:br w:type="page"/>
      </w:r>
      <w:bookmarkStart w:id="3" w:name="_Toc256779600"/>
      <w:r>
        <w:rPr>
          <w:rFonts w:hint="default" w:ascii="Times New Roman" w:hAnsi="Times New Roman" w:eastAsia="黑体" w:cs="Times New Roman"/>
          <w:kern w:val="0"/>
          <w:sz w:val="28"/>
          <w:szCs w:val="28"/>
          <w:shd w:val="clear" w:color="auto" w:fill="FFFFFF"/>
          <w:lang w:bidi="ar"/>
        </w:rPr>
        <w:t>六、融资需求</w:t>
      </w:r>
    </w:p>
    <w:tbl>
      <w:tblPr>
        <w:tblStyle w:val="5"/>
        <w:tblW w:w="912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8"/>
        <w:gridCol w:w="3600"/>
        <w:gridCol w:w="290"/>
        <w:gridCol w:w="1860"/>
        <w:gridCol w:w="16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融资需求</w:t>
            </w: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当前是否有融资需求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计划融资方式：  □股权融资     □债券融资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计划融资时间</w:t>
            </w: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计划融资金额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是否有融资经历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投资人/机构</w:t>
            </w: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imes New Roman" w:hAnsi="Times New Roman" w:eastAsia="仿宋" w:cs="Times New Roman"/>
                <w:sz w:val="21"/>
                <w:szCs w:val="21"/>
                <w:lang w:eastAsia="zh-CN"/>
              </w:rPr>
            </w:pPr>
            <w:r>
              <w:rPr>
                <w:rFonts w:hint="default" w:ascii="Times New Roman" w:hAnsi="Times New Roman" w:eastAsia="仿宋" w:cs="Times New Roman"/>
                <w:sz w:val="21"/>
                <w:szCs w:val="21"/>
              </w:rPr>
              <w:t>融资金额</w:t>
            </w:r>
            <w:r>
              <w:rPr>
                <w:rFonts w:hint="eastAsia" w:eastAsia="仿宋" w:cs="Times New Roman"/>
                <w:sz w:val="21"/>
                <w:szCs w:val="21"/>
                <w:shd w:val="clear" w:fill="auto"/>
                <w:lang w:eastAsia="zh-CN"/>
              </w:rPr>
              <w:t>（</w:t>
            </w:r>
            <w:r>
              <w:rPr>
                <w:rFonts w:hint="default" w:ascii="Times New Roman" w:hAnsi="Times New Roman" w:eastAsia="仿宋" w:cs="Times New Roman"/>
                <w:sz w:val="21"/>
                <w:szCs w:val="21"/>
              </w:rPr>
              <w:t>万元</w:t>
            </w:r>
            <w:r>
              <w:rPr>
                <w:rFonts w:hint="eastAsia" w:eastAsia="仿宋" w:cs="Times New Roman"/>
                <w:sz w:val="21"/>
                <w:szCs w:val="21"/>
                <w:shd w:val="clear" w:fill="auto"/>
                <w:lang w:eastAsia="zh-CN"/>
              </w:rPr>
              <w:t>）</w:t>
            </w:r>
          </w:p>
        </w:tc>
        <w:tc>
          <w:tcPr>
            <w:tcW w:w="16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融资时间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其它融资需求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05"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□科技咨询□融资担保□应收账款融资□技术/产权转让□金融租赁</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□股改和上市咨询□科技保险□小额贷款□信用贷款□股权质押贷款</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□知识产权质押贷款□中小企业集合债券发行□并购重组□资产管理</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□其他服务需求_____________（可复选项）  □</w:t>
            </w:r>
            <w:r>
              <w:rPr>
                <w:rFonts w:hint="default" w:ascii="Times New Roman" w:hAnsi="Times New Roman" w:eastAsia="仿宋" w:cs="Times New Roman"/>
                <w:sz w:val="21"/>
                <w:szCs w:val="21"/>
                <w:shd w:val="clear" w:fill="auto"/>
              </w:rPr>
              <w:t>无</w:t>
            </w:r>
            <w:r>
              <w:rPr>
                <w:rFonts w:hint="default" w:ascii="Times New Roman" w:hAnsi="Times New Roman" w:eastAsia="仿宋" w:cs="Times New Roman"/>
                <w:sz w:val="21"/>
                <w:szCs w:val="21"/>
              </w:rPr>
              <w:t>融资需求</w:t>
            </w:r>
          </w:p>
        </w:tc>
      </w:tr>
    </w:tbl>
    <w:p>
      <w:pPr>
        <w:keepNext w:val="0"/>
        <w:keepLines w:val="0"/>
        <w:pageBreakBefore w:val="0"/>
        <w:widowControl/>
        <w:kinsoku/>
        <w:wordWrap/>
        <w:overflowPunct/>
        <w:topLinePunct w:val="0"/>
        <w:autoSpaceDN/>
        <w:bidi w:val="0"/>
        <w:snapToGrid w:val="0"/>
        <w:spacing w:line="560" w:lineRule="exact"/>
        <w:jc w:val="left"/>
        <w:textAlignment w:val="auto"/>
        <w:rPr>
          <w:rFonts w:hint="default" w:ascii="Times New Roman" w:hAnsi="Times New Roman" w:eastAsia="黑体" w:cs="Times New Roman"/>
          <w:kern w:val="0"/>
          <w:sz w:val="28"/>
          <w:szCs w:val="28"/>
          <w:shd w:val="clear" w:color="auto" w:fill="FFFFFF"/>
          <w:lang w:bidi="ar"/>
        </w:rPr>
      </w:pPr>
    </w:p>
    <w:p>
      <w:pPr>
        <w:keepNext w:val="0"/>
        <w:keepLines w:val="0"/>
        <w:pageBreakBefore w:val="0"/>
        <w:widowControl/>
        <w:kinsoku/>
        <w:wordWrap/>
        <w:overflowPunct/>
        <w:topLinePunct w:val="0"/>
        <w:autoSpaceDN/>
        <w:bidi w:val="0"/>
        <w:snapToGrid w:val="0"/>
        <w:spacing w:line="560" w:lineRule="exact"/>
        <w:jc w:val="left"/>
        <w:textAlignment w:val="auto"/>
        <w:rPr>
          <w:rFonts w:hint="default" w:ascii="Times New Roman" w:hAnsi="Times New Roman" w:eastAsia="黑体" w:cs="Times New Roman"/>
          <w:sz w:val="28"/>
          <w:szCs w:val="28"/>
          <w:shd w:val="clear" w:color="auto" w:fill="FFFFFF"/>
        </w:rPr>
      </w:pPr>
      <w:r>
        <w:rPr>
          <w:rFonts w:hint="default" w:ascii="Times New Roman" w:hAnsi="Times New Roman" w:eastAsia="黑体" w:cs="Times New Roman"/>
          <w:kern w:val="0"/>
          <w:sz w:val="28"/>
          <w:szCs w:val="28"/>
          <w:shd w:val="clear" w:color="auto" w:fill="FFFFFF"/>
          <w:lang w:bidi="ar"/>
        </w:rPr>
        <w:br w:type="page"/>
      </w:r>
      <w:r>
        <w:rPr>
          <w:rFonts w:hint="default" w:ascii="Times New Roman" w:hAnsi="Times New Roman" w:eastAsia="黑体" w:cs="Times New Roman"/>
          <w:kern w:val="0"/>
          <w:sz w:val="28"/>
          <w:szCs w:val="28"/>
          <w:shd w:val="clear" w:color="auto" w:fill="FFFFFF"/>
          <w:lang w:bidi="ar"/>
        </w:rPr>
        <w:t>七、风险分析与对策</w:t>
      </w:r>
      <w:bookmarkEnd w:id="3"/>
    </w:p>
    <w:tbl>
      <w:tblPr>
        <w:tblStyle w:val="5"/>
        <w:tblW w:w="895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45"/>
        <w:gridCol w:w="5474"/>
        <w:gridCol w:w="22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shd w:val="clear" w:fill="auto"/>
                <w:lang w:bidi="ar"/>
              </w:rPr>
              <w:t>创业</w:t>
            </w:r>
            <w:r>
              <w:rPr>
                <w:rFonts w:hint="default" w:ascii="Times New Roman" w:hAnsi="Times New Roman" w:eastAsia="宋体" w:cs="Times New Roman"/>
                <w:b/>
                <w:kern w:val="0"/>
                <w:sz w:val="21"/>
                <w:szCs w:val="21"/>
                <w:lang w:bidi="ar"/>
              </w:rPr>
              <w:t>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分析</w:t>
            </w:r>
          </w:p>
        </w:tc>
        <w:tc>
          <w:tcPr>
            <w:tcW w:w="2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对策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行业风险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指行业的生命周期、行业的波动性、行业的集中程度。</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政策风险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指因国家宏观政策（如货币政策、财政政策、行业政策等）发生变化，导致市场价格波动而产生风险。</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市场风险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市场风险涉及的因素有：市场需求量、市场接受时间、市场价格、市场战略等。</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技术风险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指企业产品创新过程中技术不确定性、前景的不确定性、技术效果的不确定性、技术寿命的不确定性。</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资金风险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资金风险主要有两类：一是缺少创业资金风险，二是融资成本风险。</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管理风险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企业经营过程中的风险，如管理者素质风险、决策风险、组织风险、人才风险等。</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环境风险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bidi="ar"/>
              </w:rPr>
              <w:t>指社会、政治、政策、法律环境变化或由于意外灾害发生而造成失败的可能性。</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其他风险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rPr>
            </w:pP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p>
        </w:tc>
      </w:tr>
    </w:tbl>
    <w:p>
      <w:pPr>
        <w:keepNext w:val="0"/>
        <w:keepLines w:val="0"/>
        <w:pageBreakBefore w:val="0"/>
        <w:widowControl/>
        <w:kinsoku/>
        <w:wordWrap/>
        <w:overflowPunct/>
        <w:topLinePunct w:val="0"/>
        <w:autoSpaceDN/>
        <w:bidi w:val="0"/>
        <w:snapToGrid w:val="0"/>
        <w:spacing w:line="560" w:lineRule="exact"/>
        <w:jc w:val="left"/>
        <w:textAlignment w:val="auto"/>
        <w:rPr>
          <w:rFonts w:hint="default" w:ascii="Times New Roman" w:hAnsi="Times New Roman" w:eastAsia="宋体" w:cs="Times New Roman"/>
          <w:sz w:val="24"/>
          <w:szCs w:val="24"/>
          <w:shd w:val="clear" w:color="auto" w:fill="FFFFFF"/>
        </w:rPr>
      </w:pPr>
      <w:r>
        <w:rPr>
          <w:rFonts w:hint="default" w:ascii="Times New Roman" w:hAnsi="Times New Roman" w:eastAsia="宋体" w:cs="Times New Roman"/>
          <w:kern w:val="0"/>
          <w:sz w:val="24"/>
          <w:szCs w:val="24"/>
          <w:shd w:val="clear" w:color="auto" w:fill="FFFFFF"/>
          <w:lang w:bidi="ar"/>
        </w:rPr>
        <w:t>注：只需要填写本企业涉及到的风险。</w:t>
      </w:r>
    </w:p>
    <w:p>
      <w:pPr>
        <w:keepNext w:val="0"/>
        <w:keepLines w:val="0"/>
        <w:pageBreakBefore w:val="0"/>
        <w:widowControl/>
        <w:kinsoku/>
        <w:wordWrap/>
        <w:overflowPunct/>
        <w:topLinePunct w:val="0"/>
        <w:autoSpaceDN/>
        <w:bidi w:val="0"/>
        <w:snapToGrid w:val="0"/>
        <w:spacing w:line="560" w:lineRule="exact"/>
        <w:jc w:val="left"/>
        <w:textAlignment w:val="auto"/>
        <w:rPr>
          <w:rFonts w:hint="default" w:ascii="Times New Roman" w:hAnsi="Times New Roman" w:eastAsia="黑体" w:cs="Times New Roman"/>
          <w:sz w:val="28"/>
          <w:szCs w:val="28"/>
          <w:shd w:val="clear" w:color="auto" w:fill="FFFFFF"/>
        </w:rPr>
      </w:pPr>
      <w:r>
        <w:rPr>
          <w:rFonts w:hint="default" w:ascii="Times New Roman" w:hAnsi="Times New Roman" w:eastAsia="黑体" w:cs="Times New Roman"/>
          <w:kern w:val="0"/>
          <w:sz w:val="28"/>
          <w:szCs w:val="28"/>
          <w:shd w:val="clear" w:color="auto" w:fill="FFFFFF"/>
          <w:lang w:bidi="ar"/>
        </w:rPr>
        <w:t>八、企业愿景</w:t>
      </w:r>
    </w:p>
    <w:tbl>
      <w:tblPr>
        <w:tblStyle w:val="5"/>
        <w:tblW w:w="909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67" w:hRule="atLeast"/>
          <w:jc w:val="center"/>
        </w:trPr>
        <w:tc>
          <w:tcPr>
            <w:tcW w:w="909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N/>
              <w:bidi w:val="0"/>
              <w:spacing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仿宋" w:cs="Times New Roman"/>
                <w:kern w:val="0"/>
                <w:sz w:val="24"/>
                <w:szCs w:val="24"/>
                <w:lang w:bidi="ar"/>
              </w:rPr>
              <w:t>企业及其内部全体员工共同追求的企业发展愿望和长远目标的情景式描述，对企业发展具有导向功能，对员工具有激励与凝聚作用。</w:t>
            </w:r>
          </w:p>
        </w:tc>
      </w:tr>
    </w:tbl>
    <w:p>
      <w:pPr>
        <w:keepNext w:val="0"/>
        <w:keepLines w:val="0"/>
        <w:pageBreakBefore w:val="0"/>
        <w:widowControl/>
        <w:kinsoku/>
        <w:wordWrap/>
        <w:overflowPunct/>
        <w:topLinePunct w:val="0"/>
        <w:autoSpaceDN/>
        <w:bidi w:val="0"/>
        <w:spacing w:line="560" w:lineRule="exact"/>
        <w:jc w:val="left"/>
        <w:textAlignment w:val="auto"/>
        <w:rPr>
          <w:rFonts w:hint="default" w:ascii="Times New Roman" w:hAnsi="Times New Roman" w:eastAsia="仿宋" w:cs="Times New Roman"/>
          <w:sz w:val="21"/>
          <w:szCs w:val="21"/>
          <w:shd w:val="clear" w:color="auto" w:fill="FFFFFF"/>
        </w:rPr>
      </w:pPr>
      <w:r>
        <w:rPr>
          <w:rFonts w:hint="default" w:ascii="Times New Roman" w:hAnsi="Times New Roman" w:eastAsia="仿宋" w:cs="Times New Roman"/>
          <w:kern w:val="0"/>
          <w:sz w:val="21"/>
          <w:szCs w:val="21"/>
          <w:shd w:val="clear" w:color="auto" w:fill="FFFFFF"/>
          <w:lang w:bidi="ar"/>
        </w:rPr>
        <w:t>注：创业（商业）计划书要求表述条理清晰，应避免拖沓冗长，力求简洁、清晰、重点突出、条理分明；专业语言的运用要准确和适度；相关数据科学、详实。</w:t>
      </w:r>
      <w:bookmarkStart w:id="4" w:name="_GoBack"/>
      <w:bookmarkEnd w:id="4"/>
    </w:p>
    <w:p>
      <w:pPr>
        <w:pStyle w:val="2"/>
      </w:pPr>
    </w:p>
    <w:p/>
    <w:sectPr>
      <w:footerReference r:id="rId3" w:type="default"/>
      <w:pgSz w:w="11906" w:h="16838"/>
      <w:pgMar w:top="2041" w:right="1531" w:bottom="204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0AFF" w:usb1="00007843" w:usb2="00000001" w:usb3="00000000" w:csb0="400001BF" w:csb1="DFF7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rPr>
                          </w:pPr>
                          <w:r>
                            <w:rPr>
                              <w:rFonts w:hint="eastAsia"/>
                              <w:sz w:val="32"/>
                              <w:szCs w:val="32"/>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sz w:val="28"/>
                              <w:szCs w:val="28"/>
                            </w:rPr>
                            <w:t xml:space="preserve"> </w:t>
                          </w:r>
                          <w:r>
                            <w:rPr>
                              <w:rFonts w:hint="eastAsia"/>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sz w:val="32"/>
                        <w:szCs w:val="32"/>
                      </w:rPr>
                    </w:pPr>
                    <w:r>
                      <w:rPr>
                        <w:rFonts w:hint="eastAsia"/>
                        <w:sz w:val="32"/>
                        <w:szCs w:val="32"/>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sz w:val="28"/>
                        <w:szCs w:val="28"/>
                      </w:rPr>
                      <w:t xml:space="preserve"> </w:t>
                    </w:r>
                    <w:r>
                      <w:rPr>
                        <w:rFonts w:hint="eastAsia"/>
                        <w:sz w:val="32"/>
                        <w:szCs w:val="32"/>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D787A"/>
    <w:multiLevelType w:val="singleLevel"/>
    <w:tmpl w:val="85FD787A"/>
    <w:lvl w:ilvl="0" w:tentative="0">
      <w:start w:val="1"/>
      <w:numFmt w:val="chineseCounting"/>
      <w:suff w:val="nothing"/>
      <w:lvlText w:val="%1、"/>
      <w:lvlJc w:val="left"/>
      <w:pPr>
        <w:ind w:left="0" w:firstLine="420"/>
      </w:pPr>
      <w:rPr>
        <w:rFonts w:hint="eastAsia"/>
      </w:rPr>
    </w:lvl>
  </w:abstractNum>
  <w:abstractNum w:abstractNumId="1">
    <w:nsid w:val="DEBFCFA3"/>
    <w:multiLevelType w:val="singleLevel"/>
    <w:tmpl w:val="DEBFCFA3"/>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93AA7"/>
    <w:rsid w:val="0F693AA7"/>
    <w:rsid w:val="1D4A3782"/>
    <w:rsid w:val="4CC9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附件"/>
    <w:basedOn w:val="1"/>
    <w:qFormat/>
    <w:uiPriority w:val="0"/>
    <w:pPr>
      <w:spacing w:line="600" w:lineRule="exact"/>
      <w:ind w:firstLine="0" w:firstLineChars="0"/>
      <w:jc w:val="left"/>
    </w:pPr>
    <w:rPr>
      <w:rFonts w:ascii="宋体" w:hAnsi="宋体" w:eastAsia="方正黑体_GBK" w:cs="宋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曲靖市宣威市党政机关单位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2023-10-10T07:28:00Z</dcterms:created>
  <dc:creator>Administrator</dc:creator>
  <cp:lastModifiedBy>Administrator</cp:lastModifiedBy>
  <dcterms:modified xsi:type="dcterms:W3CDTF">2023-10-10T07:31:43Z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