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94" w:rsidRPr="004F5894" w:rsidRDefault="004F5894" w:rsidP="004F5894">
      <w:pPr>
        <w:widowControl/>
        <w:spacing w:line="480" w:lineRule="atLeast"/>
        <w:jc w:val="left"/>
        <w:outlineLvl w:val="0"/>
        <w:rPr>
          <w:rFonts w:ascii="宋体" w:eastAsia="宋体" w:hAnsi="宋体" w:cs="宋体"/>
          <w:kern w:val="36"/>
          <w:sz w:val="24"/>
          <w:szCs w:val="30"/>
        </w:rPr>
      </w:pPr>
      <w:r>
        <w:rPr>
          <w:rFonts w:ascii="宋体" w:eastAsia="宋体" w:hAnsi="宋体" w:cs="宋体" w:hint="eastAsia"/>
          <w:kern w:val="36"/>
          <w:sz w:val="30"/>
          <w:szCs w:val="30"/>
        </w:rPr>
        <w:t xml:space="preserve">               </w:t>
      </w:r>
      <w:r w:rsidRPr="004F5894">
        <w:rPr>
          <w:rFonts w:ascii="宋体" w:eastAsia="宋体" w:hAnsi="宋体" w:cs="宋体"/>
          <w:kern w:val="36"/>
          <w:sz w:val="24"/>
          <w:szCs w:val="30"/>
        </w:rPr>
        <w:t>最新工伤保险条例全文解读</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新修订的《工伤保险条例》将从</w:t>
      </w:r>
      <w:r w:rsidRPr="004F5894">
        <w:rPr>
          <w:rFonts w:ascii="微软雅黑" w:eastAsia="宋体" w:hAnsi="微软雅黑" w:cs="宋体" w:hint="eastAsia"/>
          <w:color w:val="333333"/>
          <w:kern w:val="0"/>
          <w:sz w:val="24"/>
          <w:szCs w:val="16"/>
        </w:rPr>
        <w:t>2011</w:t>
      </w:r>
      <w:r w:rsidRPr="004F5894">
        <w:rPr>
          <w:rFonts w:ascii="微软雅黑" w:eastAsia="宋体" w:hAnsi="微软雅黑" w:cs="宋体" w:hint="eastAsia"/>
          <w:color w:val="333333"/>
          <w:kern w:val="0"/>
          <w:sz w:val="24"/>
          <w:szCs w:val="16"/>
        </w:rPr>
        <w:t>年</w:t>
      </w:r>
      <w:r w:rsidRPr="004F5894">
        <w:rPr>
          <w:rFonts w:ascii="微软雅黑" w:eastAsia="宋体" w:hAnsi="微软雅黑" w:cs="宋体" w:hint="eastAsia"/>
          <w:color w:val="333333"/>
          <w:kern w:val="0"/>
          <w:sz w:val="24"/>
          <w:szCs w:val="16"/>
        </w:rPr>
        <w:t>1</w:t>
      </w:r>
      <w:r w:rsidRPr="004F5894">
        <w:rPr>
          <w:rFonts w:ascii="微软雅黑" w:eastAsia="宋体" w:hAnsi="微软雅黑" w:cs="宋体" w:hint="eastAsia"/>
          <w:color w:val="333333"/>
          <w:kern w:val="0"/>
          <w:sz w:val="24"/>
          <w:szCs w:val="16"/>
        </w:rPr>
        <w:t>月</w:t>
      </w:r>
      <w:r w:rsidRPr="004F5894">
        <w:rPr>
          <w:rFonts w:ascii="微软雅黑" w:eastAsia="宋体" w:hAnsi="微软雅黑" w:cs="宋体" w:hint="eastAsia"/>
          <w:color w:val="333333"/>
          <w:kern w:val="0"/>
          <w:sz w:val="24"/>
          <w:szCs w:val="16"/>
        </w:rPr>
        <w:t>1</w:t>
      </w:r>
      <w:r w:rsidRPr="004F5894">
        <w:rPr>
          <w:rFonts w:ascii="微软雅黑" w:eastAsia="宋体" w:hAnsi="微软雅黑" w:cs="宋体" w:hint="eastAsia"/>
          <w:color w:val="333333"/>
          <w:kern w:val="0"/>
          <w:sz w:val="24"/>
          <w:szCs w:val="16"/>
        </w:rPr>
        <w:t>日起正式施行。新条例主要有以下六个方面的“亮点”：</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b/>
          <w:bCs/>
          <w:color w:val="333333"/>
          <w:kern w:val="0"/>
          <w:sz w:val="24"/>
        </w:rPr>
        <w:t>一、扩大了工伤保险适用范围</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将工伤保险的适用范围扩大到了不参照</w:t>
      </w:r>
      <w:hyperlink r:id="rId6" w:tgtFrame="_blank" w:tooltip="公务员法" w:history="1">
        <w:r w:rsidRPr="004F5894">
          <w:rPr>
            <w:rFonts w:ascii="微软雅黑" w:eastAsia="宋体" w:hAnsi="微软雅黑" w:cs="宋体" w:hint="eastAsia"/>
            <w:color w:val="0000FF"/>
            <w:kern w:val="0"/>
            <w:sz w:val="24"/>
            <w:u w:val="single"/>
          </w:rPr>
          <w:t>公务员法</w:t>
        </w:r>
      </w:hyperlink>
      <w:r w:rsidRPr="004F5894">
        <w:rPr>
          <w:rFonts w:ascii="微软雅黑" w:eastAsia="宋体" w:hAnsi="微软雅黑" w:cs="宋体" w:hint="eastAsia"/>
          <w:color w:val="333333"/>
          <w:kern w:val="0"/>
          <w:sz w:val="24"/>
          <w:szCs w:val="16"/>
        </w:rPr>
        <w:t>管理的各类事业单位、社会团体，以及民办非企业单位、基金会、</w:t>
      </w:r>
      <w:hyperlink r:id="rId7" w:tgtFrame="_blank" w:tooltip="律师事务所" w:history="1">
        <w:r w:rsidRPr="004F5894">
          <w:rPr>
            <w:rFonts w:ascii="微软雅黑" w:eastAsia="宋体" w:hAnsi="微软雅黑" w:cs="宋体" w:hint="eastAsia"/>
            <w:color w:val="0000FF"/>
            <w:kern w:val="0"/>
            <w:sz w:val="24"/>
            <w:u w:val="single"/>
          </w:rPr>
          <w:t>律师事务所</w:t>
        </w:r>
      </w:hyperlink>
      <w:r w:rsidRPr="004F5894">
        <w:rPr>
          <w:rFonts w:ascii="微软雅黑" w:eastAsia="宋体" w:hAnsi="微软雅黑" w:cs="宋体" w:hint="eastAsia"/>
          <w:color w:val="333333"/>
          <w:kern w:val="0"/>
          <w:sz w:val="24"/>
          <w:szCs w:val="16"/>
        </w:rPr>
        <w:t>、会计师事务所等组织。</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b/>
          <w:bCs/>
          <w:color w:val="333333"/>
          <w:kern w:val="0"/>
          <w:sz w:val="24"/>
        </w:rPr>
        <w:t>二、调整扩大了工伤认定范围</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将认定范围从原来的上下班途中机动车事故伤害调整扩大到非本人主要责任的</w:t>
      </w:r>
      <w:hyperlink r:id="rId8" w:tgtFrame="_blank" w:tooltip="交通事故" w:history="1">
        <w:r w:rsidRPr="004F5894">
          <w:rPr>
            <w:rFonts w:ascii="微软雅黑" w:eastAsia="宋体" w:hAnsi="微软雅黑" w:cs="宋体" w:hint="eastAsia"/>
            <w:color w:val="0000FF"/>
            <w:kern w:val="0"/>
            <w:sz w:val="24"/>
            <w:u w:val="single"/>
          </w:rPr>
          <w:t>交通事故</w:t>
        </w:r>
      </w:hyperlink>
      <w:r w:rsidRPr="004F5894">
        <w:rPr>
          <w:rFonts w:ascii="微软雅黑" w:eastAsia="宋体" w:hAnsi="微软雅黑" w:cs="宋体" w:hint="eastAsia"/>
          <w:color w:val="333333"/>
          <w:kern w:val="0"/>
          <w:sz w:val="24"/>
          <w:szCs w:val="16"/>
        </w:rPr>
        <w:t>以及城市轨道交通、客运轮渡和火车事故伤害，惠及了更多的职工群众。</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b/>
          <w:bCs/>
          <w:color w:val="333333"/>
          <w:kern w:val="0"/>
          <w:sz w:val="24"/>
        </w:rPr>
        <w:t>三、简化了工伤认定程序。</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取消了工伤认定争议处理中行政复议前置的规定，缩短了工伤认定时间</w:t>
      </w:r>
      <w:r w:rsidRPr="004F5894">
        <w:rPr>
          <w:rFonts w:ascii="微软雅黑" w:eastAsia="宋体" w:hAnsi="微软雅黑" w:cs="宋体" w:hint="eastAsia"/>
          <w:color w:val="333333"/>
          <w:kern w:val="0"/>
          <w:sz w:val="24"/>
          <w:szCs w:val="16"/>
        </w:rPr>
        <w:t>;</w:t>
      </w:r>
      <w:r w:rsidRPr="004F5894">
        <w:rPr>
          <w:rFonts w:ascii="微软雅黑" w:eastAsia="宋体" w:hAnsi="微软雅黑" w:cs="宋体" w:hint="eastAsia"/>
          <w:color w:val="333333"/>
          <w:kern w:val="0"/>
          <w:sz w:val="24"/>
          <w:szCs w:val="16"/>
        </w:rPr>
        <w:t>设置了工伤认定的简易处理程序，对于事实清楚、双方无争议的工伤认定申请的认定时限，由原来规定的</w:t>
      </w:r>
      <w:r w:rsidRPr="004F5894">
        <w:rPr>
          <w:rFonts w:ascii="微软雅黑" w:eastAsia="宋体" w:hAnsi="微软雅黑" w:cs="宋体" w:hint="eastAsia"/>
          <w:color w:val="333333"/>
          <w:kern w:val="0"/>
          <w:sz w:val="24"/>
          <w:szCs w:val="16"/>
        </w:rPr>
        <w:t>60</w:t>
      </w:r>
      <w:r w:rsidRPr="004F5894">
        <w:rPr>
          <w:rFonts w:ascii="微软雅黑" w:eastAsia="宋体" w:hAnsi="微软雅黑" w:cs="宋体" w:hint="eastAsia"/>
          <w:color w:val="333333"/>
          <w:kern w:val="0"/>
          <w:sz w:val="24"/>
          <w:szCs w:val="16"/>
        </w:rPr>
        <w:t>天缩短为</w:t>
      </w:r>
      <w:r w:rsidRPr="004F5894">
        <w:rPr>
          <w:rFonts w:ascii="微软雅黑" w:eastAsia="宋体" w:hAnsi="微软雅黑" w:cs="宋体" w:hint="eastAsia"/>
          <w:color w:val="333333"/>
          <w:kern w:val="0"/>
          <w:sz w:val="24"/>
          <w:szCs w:val="16"/>
        </w:rPr>
        <w:t>15</w:t>
      </w:r>
      <w:r w:rsidRPr="004F5894">
        <w:rPr>
          <w:rFonts w:ascii="微软雅黑" w:eastAsia="宋体" w:hAnsi="微软雅黑" w:cs="宋体" w:hint="eastAsia"/>
          <w:color w:val="333333"/>
          <w:kern w:val="0"/>
          <w:sz w:val="24"/>
          <w:szCs w:val="16"/>
        </w:rPr>
        <w:t>天。</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b/>
          <w:bCs/>
          <w:color w:val="333333"/>
          <w:kern w:val="0"/>
          <w:sz w:val="24"/>
        </w:rPr>
        <w:t>四、大幅度提高了工伤保险待遇。</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一次性工亡补助金标准，从原来的</w:t>
      </w:r>
      <w:r w:rsidRPr="004F5894">
        <w:rPr>
          <w:rFonts w:ascii="微软雅黑" w:eastAsia="宋体" w:hAnsi="微软雅黑" w:cs="宋体" w:hint="eastAsia"/>
          <w:color w:val="333333"/>
          <w:kern w:val="0"/>
          <w:sz w:val="24"/>
          <w:szCs w:val="16"/>
        </w:rPr>
        <w:t>48</w:t>
      </w:r>
      <w:r w:rsidRPr="004F5894">
        <w:rPr>
          <w:rFonts w:ascii="微软雅黑" w:eastAsia="宋体" w:hAnsi="微软雅黑" w:cs="宋体" w:hint="eastAsia"/>
          <w:color w:val="333333"/>
          <w:kern w:val="0"/>
          <w:sz w:val="24"/>
          <w:szCs w:val="16"/>
        </w:rPr>
        <w:t>至</w:t>
      </w:r>
      <w:r w:rsidRPr="004F5894">
        <w:rPr>
          <w:rFonts w:ascii="微软雅黑" w:eastAsia="宋体" w:hAnsi="微软雅黑" w:cs="宋体" w:hint="eastAsia"/>
          <w:color w:val="333333"/>
          <w:kern w:val="0"/>
          <w:sz w:val="24"/>
          <w:szCs w:val="16"/>
        </w:rPr>
        <w:t>60</w:t>
      </w:r>
      <w:r w:rsidRPr="004F5894">
        <w:rPr>
          <w:rFonts w:ascii="微软雅黑" w:eastAsia="宋体" w:hAnsi="微软雅黑" w:cs="宋体" w:hint="eastAsia"/>
          <w:color w:val="333333"/>
          <w:kern w:val="0"/>
          <w:sz w:val="24"/>
          <w:szCs w:val="16"/>
        </w:rPr>
        <w:t>个月的统筹地区上年度职工月平均工资，提高至按上年度全国城镇居民人均可支配收入的</w:t>
      </w:r>
      <w:r w:rsidRPr="004F5894">
        <w:rPr>
          <w:rFonts w:ascii="微软雅黑" w:eastAsia="宋体" w:hAnsi="微软雅黑" w:cs="宋体" w:hint="eastAsia"/>
          <w:color w:val="333333"/>
          <w:kern w:val="0"/>
          <w:sz w:val="24"/>
          <w:szCs w:val="16"/>
        </w:rPr>
        <w:t>20</w:t>
      </w:r>
      <w:r w:rsidRPr="004F5894">
        <w:rPr>
          <w:rFonts w:ascii="微软雅黑" w:eastAsia="宋体" w:hAnsi="微软雅黑" w:cs="宋体" w:hint="eastAsia"/>
          <w:color w:val="333333"/>
          <w:kern w:val="0"/>
          <w:sz w:val="24"/>
          <w:szCs w:val="16"/>
        </w:rPr>
        <w:t>倍发放</w:t>
      </w:r>
      <w:r w:rsidRPr="004F5894">
        <w:rPr>
          <w:rFonts w:ascii="微软雅黑" w:eastAsia="宋体" w:hAnsi="微软雅黑" w:cs="宋体" w:hint="eastAsia"/>
          <w:color w:val="333333"/>
          <w:kern w:val="0"/>
          <w:sz w:val="24"/>
          <w:szCs w:val="16"/>
        </w:rPr>
        <w:t>;</w:t>
      </w:r>
      <w:r w:rsidRPr="004F5894">
        <w:rPr>
          <w:rFonts w:ascii="微软雅黑" w:eastAsia="宋体" w:hAnsi="微软雅黑" w:cs="宋体" w:hint="eastAsia"/>
          <w:color w:val="333333"/>
          <w:kern w:val="0"/>
          <w:sz w:val="24"/>
          <w:szCs w:val="16"/>
        </w:rPr>
        <w:t>同时，对伤残职工的一次性伤残补助金做了调整。</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b/>
          <w:bCs/>
          <w:color w:val="333333"/>
          <w:kern w:val="0"/>
          <w:sz w:val="24"/>
        </w:rPr>
        <w:t>五、增加了基金支出项目。</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将原由用人单位支付的工伤职工“住院伙食补助费”、“统筹地区以外就医的交通食宿费”以及“终止或解除劳动关系时的一次性医疗补助金”，改由工伤保险基金统一支付。</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b/>
          <w:bCs/>
          <w:color w:val="333333"/>
          <w:kern w:val="0"/>
          <w:sz w:val="24"/>
        </w:rPr>
        <w:t>六、加大了强制力度。</w:t>
      </w:r>
    </w:p>
    <w:p w:rsidR="004F5894" w:rsidRPr="004F5894" w:rsidRDefault="004F5894" w:rsidP="004F5894">
      <w:pPr>
        <w:widowControl/>
        <w:shd w:val="clear" w:color="auto" w:fill="FAFAFA"/>
        <w:spacing w:after="300" w:line="300" w:lineRule="atLeast"/>
        <w:ind w:firstLine="480"/>
        <w:jc w:val="left"/>
        <w:rPr>
          <w:rFonts w:ascii="微软雅黑" w:eastAsia="宋体" w:hAnsi="微软雅黑" w:cs="宋体" w:hint="eastAsia"/>
          <w:color w:val="333333"/>
          <w:kern w:val="0"/>
          <w:sz w:val="24"/>
          <w:szCs w:val="16"/>
        </w:rPr>
      </w:pPr>
      <w:r w:rsidRPr="004F5894">
        <w:rPr>
          <w:rFonts w:ascii="微软雅黑" w:eastAsia="宋体" w:hAnsi="微软雅黑" w:cs="宋体" w:hint="eastAsia"/>
          <w:color w:val="333333"/>
          <w:kern w:val="0"/>
          <w:sz w:val="24"/>
          <w:szCs w:val="16"/>
        </w:rPr>
        <w:t>增加了行政复议和行政诉讼期间不停止支付工伤职工治疗工伤的医疗费用的新规定。增加了对不参加工伤保险和拒不协助工伤认定调查核实的用人单位的</w:t>
      </w:r>
      <w:hyperlink r:id="rId9" w:tgtFrame="_blank" w:tooltip="行政处罚" w:history="1">
        <w:r w:rsidRPr="004F5894">
          <w:rPr>
            <w:rFonts w:ascii="微软雅黑" w:eastAsia="宋体" w:hAnsi="微软雅黑" w:cs="宋体" w:hint="eastAsia"/>
            <w:color w:val="0000FF"/>
            <w:kern w:val="0"/>
            <w:sz w:val="24"/>
            <w:u w:val="single"/>
          </w:rPr>
          <w:t>行政处罚</w:t>
        </w:r>
      </w:hyperlink>
      <w:r w:rsidRPr="004F5894">
        <w:rPr>
          <w:rFonts w:ascii="微软雅黑" w:eastAsia="宋体" w:hAnsi="微软雅黑" w:cs="宋体" w:hint="eastAsia"/>
          <w:color w:val="333333"/>
          <w:kern w:val="0"/>
          <w:sz w:val="24"/>
          <w:szCs w:val="16"/>
        </w:rPr>
        <w:t>规定，提高了工伤保险的强制力度。</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lastRenderedPageBreak/>
        <w:t>工伤保险条例</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第一章总则</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第一条　为了保障因工作遭受事故伤害或者患</w:t>
      </w:r>
      <w:hyperlink r:id="rId10" w:tgtFrame="_blank" w:tooltip="职业病" w:history="1">
        <w:r w:rsidRPr="004F5894">
          <w:rPr>
            <w:rFonts w:ascii="微软雅黑" w:eastAsia="微软雅黑" w:hAnsi="微软雅黑" w:cs="宋体" w:hint="eastAsia"/>
            <w:color w:val="0000FF"/>
            <w:kern w:val="0"/>
            <w:sz w:val="16"/>
            <w:u w:val="single"/>
          </w:rPr>
          <w:t>职业病</w:t>
        </w:r>
      </w:hyperlink>
      <w:r w:rsidRPr="004F5894">
        <w:rPr>
          <w:rFonts w:ascii="微软雅黑" w:eastAsia="微软雅黑" w:hAnsi="微软雅黑" w:cs="宋体" w:hint="eastAsia"/>
          <w:color w:val="333333"/>
          <w:kern w:val="0"/>
          <w:sz w:val="16"/>
          <w:szCs w:val="16"/>
        </w:rPr>
        <w:t>的职工获得医疗救治和经济补偿，促进工伤预防和职业康复，分散用人单位的工伤风险，制定本条例。</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第二条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中华人民共和国境内的企业、事业单位、社会团体、民办非企业单位、基金会、律师事务所、会计师事务所等组织的职工和个体工商户的雇工，均有依照本条例的规定享受工伤保险待遇的权利。</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第三条　工伤保险费的征缴按照《社会保险费征缴暂行条例》关于基本养老保险费、</w:t>
      </w:r>
      <w:hyperlink r:id="rId11" w:tgtFrame="_blank" w:tooltip="基本医疗保险" w:history="1">
        <w:r w:rsidRPr="004F5894">
          <w:rPr>
            <w:rFonts w:ascii="微软雅黑" w:eastAsia="微软雅黑" w:hAnsi="微软雅黑" w:cs="宋体" w:hint="eastAsia"/>
            <w:color w:val="0000FF"/>
            <w:kern w:val="0"/>
            <w:sz w:val="16"/>
            <w:u w:val="single"/>
          </w:rPr>
          <w:t>基本医疗保险</w:t>
        </w:r>
      </w:hyperlink>
      <w:r w:rsidRPr="004F5894">
        <w:rPr>
          <w:rFonts w:ascii="微软雅黑" w:eastAsia="微软雅黑" w:hAnsi="微软雅黑" w:cs="宋体" w:hint="eastAsia"/>
          <w:color w:val="333333"/>
          <w:kern w:val="0"/>
          <w:sz w:val="16"/>
          <w:szCs w:val="16"/>
        </w:rPr>
        <w:t>费、</w:t>
      </w:r>
      <w:hyperlink r:id="rId12" w:tgtFrame="_blank" w:tooltip="失业保险" w:history="1">
        <w:r w:rsidRPr="004F5894">
          <w:rPr>
            <w:rFonts w:ascii="微软雅黑" w:eastAsia="微软雅黑" w:hAnsi="微软雅黑" w:cs="宋体" w:hint="eastAsia"/>
            <w:color w:val="0000FF"/>
            <w:kern w:val="0"/>
            <w:sz w:val="16"/>
            <w:u w:val="single"/>
          </w:rPr>
          <w:t>失业保险</w:t>
        </w:r>
      </w:hyperlink>
      <w:r w:rsidRPr="004F5894">
        <w:rPr>
          <w:rFonts w:ascii="微软雅黑" w:eastAsia="微软雅黑" w:hAnsi="微软雅黑" w:cs="宋体" w:hint="eastAsia"/>
          <w:color w:val="333333"/>
          <w:kern w:val="0"/>
          <w:sz w:val="16"/>
          <w:szCs w:val="16"/>
        </w:rPr>
        <w:t>费的征缴规定执行。</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第四条　用人单位应当将参加工伤保险的有关情况在本单位内公示。</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用人单位和职工应当遵守有关安全生产和职业病防治的</w:t>
      </w:r>
      <w:hyperlink r:id="rId13" w:tgtFrame="_blank" w:tooltip="法律法规" w:history="1">
        <w:r w:rsidRPr="004F5894">
          <w:rPr>
            <w:rFonts w:ascii="微软雅黑" w:eastAsia="微软雅黑" w:hAnsi="微软雅黑" w:cs="宋体" w:hint="eastAsia"/>
            <w:color w:val="0000FF"/>
            <w:kern w:val="0"/>
            <w:sz w:val="16"/>
            <w:u w:val="single"/>
          </w:rPr>
          <w:t>法律法规</w:t>
        </w:r>
      </w:hyperlink>
      <w:r w:rsidRPr="004F5894">
        <w:rPr>
          <w:rFonts w:ascii="微软雅黑" w:eastAsia="微软雅黑" w:hAnsi="微软雅黑" w:cs="宋体" w:hint="eastAsia"/>
          <w:color w:val="333333"/>
          <w:kern w:val="0"/>
          <w:sz w:val="16"/>
          <w:szCs w:val="16"/>
        </w:rPr>
        <w:t>，执行安全卫生规程和标准，预防工伤事故发生，避免和减少职业病危害。</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职工发生工伤时，用人单位应当采取措施使工伤职工得到及时救治。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第五条　国务院社会保险行政部门负责全国的工伤保险工作。</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县级以上地方各级人民政府社会保险行政部门负责本行政区域内的工伤保险工作。</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社会保险行政部门按照国务院有关规定设立的社会保险经办机构(以下称经办机构)具体承办工伤保险事务。</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第六条　社会保险行政部门等部门制定工伤保险的政策、标准，应当征求工会组织、用人单位代表的意见。</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第二章工伤保险基金</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第七条　工伤保险基金由用人单位缴纳的工伤保险费、工伤保险基金的利息和依法纳入工伤保险基金的其他资金构成。</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第八条　工伤保险费根据以支定收、收支平衡的原则，确定费率。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第九条　国务院社会保险行政部门应当定期了解全国各统筹地区工伤保险基金收支情况，及时提出调整行业差别费率及行业内费率档次的方案，报国务院批准后公布施行。</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第十条　用人单位应当按时缴纳工伤保险费。职工个人不缴纳工伤保险费。</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用人单位缴纳工伤保险费的数额为本单位职工工资总额乘以单位缴费费率之积。</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对难以按照工资总额缴纳工伤保险费的行业，其缴纳工伤保险费的具体方式，由国务院社会保险行政部门规定。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第十一条　工伤保险基金逐步实行省级统筹。</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跨地区、生产流动性较大的行业，可以采取相对集中的方式异地参加统筹地区的工伤保险。具体办法由国务院社会保险行政部门会同有关行业的主管部门制定。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第十二条 工伤保险基金存入社会保障基金财政专户，用于本条例规定的工伤保险待遇，劳动能力鉴定，工伤预防的宣传、培训等费用，以及法律、法规规定的用于工伤保险的其他费用的支付。</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“工伤预防费用的提取比例、使用和管理的具体办法，由国务院社会保险行政部门会同国务院财政、卫生行政、安全生产监督管理等部门规定。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“任何单位或者个人不得将工伤保险基金用于投资运营、兴建或者改建办公场所、发放奖金，或者挪作其他用途。”</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第三章工伤认定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第十四条　职工有下列情形之一的，应当认定为工伤：</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(一)在工作时间和工作场所内，因工作原因受到事故伤害的;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(二)工作时间前后在工作场所内，从事与工作有关的预备性或者收尾性工作受到事故伤害的;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(三)在工作时间和工作场所内，因履行工作职责受到暴力等意外伤害的;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(四)患职业病的;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(五)因工外出期间，由于工作原因受到伤害或者发生事故下落不明的;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(六)在上下班途中，受到非本人主要责任的交通事故或者城市轨道交通、客运轮渡、火车事故伤害的;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(七)法律、行政法规规定应当认定为工伤的其他情形。</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第十五条　职工有下列情形之一的，视同工伤：</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(一)在工作时间和工作岗位，突发疾病死亡或者在48小时之内经抢救无效死亡的;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(二)在抢险救灾等维护国家利益、公共利益活动中受到伤害的;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(三)职工原在军队服役，因战、因公负伤致残，已取得革命伤残军人证，到用人单位后旧伤复发的。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职工有前款第(一)项、第(二)项情形的，按照本条例的有关规定享受工伤保险待遇;职工有前款第(三)项情形的，按照本条例的有关规定享受除一次性伤残补助金以外的工伤保险待遇。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第十六条　职工符合本条例第十四条、第十五条的规定，但是有下列情形之一的，不得认定为工伤或者视同工伤：</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(一)故意犯罪的;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w:t>
      </w:r>
      <w:hyperlink r:id="rId14" w:tgtFrame="_blank" w:tooltip="醉酒" w:history="1">
        <w:r w:rsidRPr="004F5894">
          <w:rPr>
            <w:rFonts w:ascii="微软雅黑" w:eastAsia="微软雅黑" w:hAnsi="微软雅黑" w:cs="宋体" w:hint="eastAsia"/>
            <w:color w:val="0000FF"/>
            <w:kern w:val="0"/>
            <w:sz w:val="16"/>
            <w:u w:val="single"/>
          </w:rPr>
          <w:t>醉酒</w:t>
        </w:r>
      </w:hyperlink>
      <w:r w:rsidRPr="004F5894">
        <w:rPr>
          <w:rFonts w:ascii="微软雅黑" w:eastAsia="微软雅黑" w:hAnsi="微软雅黑" w:cs="宋体" w:hint="eastAsia"/>
          <w:color w:val="333333"/>
          <w:kern w:val="0"/>
          <w:sz w:val="16"/>
          <w:szCs w:val="16"/>
        </w:rPr>
        <w:t>或者吸毒的;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(三)自残或者自杀的。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第十七条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用人单位未按前款规定提出工伤认定申请的，工伤职工或者其直系亲属、工会组织在事故伤害发生之日或者被诊断、鉴定为职业病之日起1年内，可以直接向用人单位所在地统筹地区劳动保障行政部门提出工伤认定申请。</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按照本条第一款规定应当由省级社会保险行政部门进行工伤认定的事项，根据属地原则由用人单位所在地的设区的市级社会保险行政部门办理。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用人单位未在本条第一款规定的时限内提交工伤认定申请，在此期间发生符合本条例规定的工伤待遇等有关费用由该用人单位负担。</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第十八条　提出工伤认定申请应当提交下列材料：</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(一)工伤认定申请表;</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(二)与用人单位存在劳动关系(包括事实劳动关系)的证明材料;</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(三)医疗诊断证明或者职业病诊断证明书(或者职业病诊断鉴定书)。</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工伤认定申请表应当包括事故发生的时间、地点、原因以及职工伤害程度等基本情况。</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工伤认定申请人提供材料不完整的，社会保险行政部门应当一次性书面告知工伤认定申请人需要补正的全部材料。申请人按照书面告知要求补正材料后，社会保险行政部门应当受理。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职工或者其近亲属认为是工伤，用人单位不认为是工伤的，由用人单位承担举证责任。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第二十条　“社会保险行政部门应当自受理工伤认定申请之日起60日内作出工伤认定的决定，并书面通知申请工伤认定的职工或者其近亲属和该职工所在单位。</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“社会保险行政部门对受理的事实清楚、权利义务明确的工伤认定申请，应当在15日内作出工伤认定的决定。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“作出工伤认定决定需要以司法机关或者有关行政主管部门的结论为依据的，在司法机关或者有关行政主管部门尚未作出结论期间，作出工伤认定决定的时限中止。</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“社会保险行政部门工作人员与工伤认定申请人有利害关系的，应当回避。”</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第四章劳动能力鉴定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第二十一条　职工发生工伤，经治疗伤情相对稳定后存在残疾、影响劳动能力的，应当进行劳动能力鉴定。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第二十二条　劳动能力鉴定是指劳动功能障碍程度和生活自理障碍程度的等级鉴定。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劳动功能障碍分为十个</w:t>
      </w:r>
      <w:hyperlink r:id="rId15" w:tgtFrame="_blank" w:tooltip="伤残等级" w:history="1">
        <w:r w:rsidRPr="004F5894">
          <w:rPr>
            <w:rFonts w:ascii="微软雅黑" w:eastAsia="微软雅黑" w:hAnsi="微软雅黑" w:cs="宋体" w:hint="eastAsia"/>
            <w:color w:val="0000FF"/>
            <w:kern w:val="0"/>
            <w:sz w:val="16"/>
            <w:u w:val="single"/>
          </w:rPr>
          <w:t>伤残等级</w:t>
        </w:r>
      </w:hyperlink>
      <w:r w:rsidRPr="004F5894">
        <w:rPr>
          <w:rFonts w:ascii="微软雅黑" w:eastAsia="微软雅黑" w:hAnsi="微软雅黑" w:cs="宋体" w:hint="eastAsia"/>
          <w:color w:val="333333"/>
          <w:kern w:val="0"/>
          <w:sz w:val="16"/>
          <w:szCs w:val="16"/>
        </w:rPr>
        <w:t>，最重的为一级，最轻的为十级。</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生活自理障碍分为三个等级：生活完全不能自理、生活大部分不能自理和生活部分不能自理。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劳动能力鉴定标准由国务院社会保险行政部门会同国务院卫生行政部门等部门制定。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第二十三条　劳动能力鉴定由用人单位、工伤职工或者其近亲属向设区的市级劳动能力鉴定委员会提出申请，并提供工伤认定决定和职工工伤医疗的有关资料。</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第二十四条　省、自治区、直辖市劳动能力鉴定委员会和设区的市级劳动能力鉴定委员会分别由省、自治区、直辖市和设区的市级社会保险行政部门、卫生行政部门、工会组织、经办机构代表以及用人单位代表组成。</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劳动能力鉴定委员会建立医疗卫生专家库。列入专家库的医疗卫生专业技术人员应当具备下列条件：</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(一)具有医疗卫生高级专业技术职务任职资格</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(二)掌握劳动能力鉴定的相关知识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(三)具有良好的职业品德。</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第二十五条　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设区的市级劳动能力鉴定委员会应当自收到劳动能力鉴定申请之日起60日内作出劳动能力鉴定结论，必要时，作出劳动能力鉴定结论的期限可以延长30日。劳动能力鉴定结论应当及时送达申请鉴定的单位和个人。</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第二十六条　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第二十七条　劳动能力鉴定工作应当客观、公正。劳动能力鉴定委员会组成人员或者参加鉴定的专家与当事人有利害关系的，应当回避。</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第二十八条　自劳动能力鉴定结论作出之日起1年后，工伤职工或者其近亲属、所在单位或者经办机构认为伤残情况发生变化的，可以申请劳动能力复查鉴定。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第二十九条　劳动能力鉴定委员会依照本条例第二十六条和第二十八条的规定进行再次鉴定和复查鉴定的期限，依照本条例第二十五条第二款的规定执行。</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第五章工伤保险待遇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第三十条　职工因工作遭受事故伤害或者患职业病进行治疗，享受工伤医疗待遇。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职工治疗工伤应当在签订服务协议的医疗机构就医，情况紧急时可以先到就近的医疗机构急救。</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职工住院治疗工伤的伙食补助费，以及经医疗机构出具证明，报经办机构同意，工伤职工到统筹地区以外就医所需的交通、食宿费用从工伤保险基金支付，基金支付的具体标准由统筹地区人民政府规定。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工伤职工治疗非工伤引发的疾病，不享受工伤医疗待遇，按照基本医疗保险办法处理。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工伤职工到签订服务协议的医疗机构进行工伤康复的费用，符合规定的，从工伤保险基金支付。</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第三十一条　社会保险行政部门作出认定为工伤的决定后发生行政复议、行政诉讼的，行政复议和行政诉讼期间不停止支付工伤职工治疗工伤的医疗费用。</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第三十二条　工伤职工因日常生活或者就业需要，经劳动能力鉴定委员会确认，可以安装假肢、矫形器、假眼、假牙和配置轮椅等辅助器具，所需费用按照国家规定的标准从工伤保险基金支付。</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第三十三条　职工因工作遭受事故伤害或者患职业病需要暂停工作接受工伤医疗的，在停工留薪期内，原工资福利待遇不变，由所在单位按月支付。</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生活不能自理的工伤职工在停工留薪期需要护理的，由所在单位负责。</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第三十四条　工伤职工已经评定伤残等级并经劳动能力鉴定委员会确认需要生活护理的，从工伤保险基金按月支付生活护理费。</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生活护理费按照生活完全不能自理、生活大部分不能自理或者生活部分不能自理3个不同等级支付，其标准分别为统筹地区上年度职工月平均工资的50%、40%或者30%。</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第三十五条　职工因工致残被鉴定为一级至四级伤残的，保留</w:t>
      </w:r>
      <w:hyperlink r:id="rId16" w:tgtFrame="_blank" w:tooltip="劳动关系" w:history="1">
        <w:r w:rsidRPr="004F5894">
          <w:rPr>
            <w:rFonts w:ascii="微软雅黑" w:eastAsia="微软雅黑" w:hAnsi="微软雅黑" w:cs="宋体" w:hint="eastAsia"/>
            <w:color w:val="0000FF"/>
            <w:kern w:val="0"/>
            <w:sz w:val="16"/>
            <w:u w:val="single"/>
          </w:rPr>
          <w:t>劳动关系</w:t>
        </w:r>
      </w:hyperlink>
      <w:r w:rsidRPr="004F5894">
        <w:rPr>
          <w:rFonts w:ascii="微软雅黑" w:eastAsia="微软雅黑" w:hAnsi="微软雅黑" w:cs="宋体" w:hint="eastAsia"/>
          <w:color w:val="333333"/>
          <w:kern w:val="0"/>
          <w:sz w:val="16"/>
          <w:szCs w:val="16"/>
        </w:rPr>
        <w:t>，退出工作岗位，享受以下待遇：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(一)从工伤保险基金按伤残等级支付一次性伤残补助金，标准为：一级伤残为27个月的本人工资，二级伤残为25个月的本人工资，三级伤残为23个月的本人工资，四级伤残为21个月的本人工资。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(三)工伤职工达到退休年龄并办理退休手续后，停发伤残津贴，按照国家规定享受基本养老保险待遇，基本养老保险待遇低于伤残津贴的由工伤保险基金补足差额。</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职工因工致残被鉴定为一级至四级伤残的，由用人单位和职工个人以伤残津贴为基数，缴纳基本医疗保险费。</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第三十六条　职工因工致残被鉴定为五级、六级伤残的，享受以下待遇：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(一)从工伤保险基金按伤残等级支付一次性伤残补助金，标准为：五级伤残为18个月的本人工资，六级伤残为16个月的本人工资;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第三十七条　职工因工致残被鉴定为七级至十级伤残的，享受以下待遇：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(一)从工伤保险基金按伤残等级支付一次性伤残补助金，标准为：七级伤残为13个月的本人工资，八级伤残为11个月的本人工资，九级伤残为9个月的本人工资，十级伤残为7个月的本人工资;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第三十八条　工伤职工工伤复发，确认需要治疗的，享受本条例第三十条、第三十二条和第三十三条规定的工伤待遇。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第三十九条　职工因工死亡，其近亲属按照下列规定从工伤保险基金领取丧葬补助金、供养亲属</w:t>
      </w:r>
      <w:hyperlink r:id="rId17" w:tgtFrame="_blank" w:tooltip="抚恤金" w:history="1">
        <w:r w:rsidRPr="004F5894">
          <w:rPr>
            <w:rFonts w:ascii="微软雅黑" w:eastAsia="微软雅黑" w:hAnsi="微软雅黑" w:cs="宋体" w:hint="eastAsia"/>
            <w:color w:val="0000FF"/>
            <w:kern w:val="0"/>
            <w:sz w:val="16"/>
            <w:u w:val="single"/>
          </w:rPr>
          <w:t>抚恤金</w:t>
        </w:r>
      </w:hyperlink>
      <w:r w:rsidRPr="004F5894">
        <w:rPr>
          <w:rFonts w:ascii="微软雅黑" w:eastAsia="微软雅黑" w:hAnsi="微软雅黑" w:cs="宋体" w:hint="eastAsia"/>
          <w:color w:val="333333"/>
          <w:kern w:val="0"/>
          <w:sz w:val="16"/>
          <w:szCs w:val="16"/>
        </w:rPr>
        <w:t>和一次性工亡补助金：</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(一)丧葬补助金为6个月的统筹地区上年度职工月平均工资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(三)一次性工亡补助金标准为上一年度全国城镇居民人均可支配收入的20倍。</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伤残职工在停工留薪期内因工伤导致死亡的，其近亲属享受本条第一款规定的待遇。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一级至四级伤残职工在停工留薪期满后死亡的，其近亲属可以享受本条第一款第(一)项、第(二)项规定的待遇。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第四十条　伤残津贴、供养亲属抚恤金、生活护理费由统筹地区社会保险行政部门根据职工平均工资和生活费用变化等情况适时调整。调整办法由省、自治区、直辖市人民政府规定。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第四十一条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第四十二条　工伤职工有下列情形之一的，停止享受工伤保险待遇：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(一)丧失享受待遇条件的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(二)拒不接受劳动能力鉴定的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(三)拒绝治疗的。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第四十三条　用人单位分立、合并、转让的，承继单位应当承担原用人单位的工伤保险责任;原用人单位已经参加工伤保险的，承继单位应当到当地经办机构办理工伤保险变更登记。</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用人单位实行承包经营的，工伤保险责任由职工劳动关系所在单位承担。</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职工被借调期间受到工伤事故伤害的，由原用人单位承担工伤保险责任，但原用人单位与借调单位可以约定补偿办法。</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企业</w:t>
      </w:r>
      <w:hyperlink r:id="rId18" w:tgtFrame="_blank" w:tooltip="破产" w:history="1">
        <w:r w:rsidRPr="004F5894">
          <w:rPr>
            <w:rFonts w:ascii="微软雅黑" w:eastAsia="微软雅黑" w:hAnsi="微软雅黑" w:cs="宋体" w:hint="eastAsia"/>
            <w:color w:val="0000FF"/>
            <w:kern w:val="0"/>
            <w:sz w:val="16"/>
            <w:u w:val="single"/>
          </w:rPr>
          <w:t>破产</w:t>
        </w:r>
      </w:hyperlink>
      <w:r w:rsidRPr="004F5894">
        <w:rPr>
          <w:rFonts w:ascii="微软雅黑" w:eastAsia="微软雅黑" w:hAnsi="微软雅黑" w:cs="宋体" w:hint="eastAsia"/>
          <w:color w:val="333333"/>
          <w:kern w:val="0"/>
          <w:sz w:val="16"/>
          <w:szCs w:val="16"/>
        </w:rPr>
        <w:t>的，在破产清算时依法拨付应当由单位支付的工伤保险待遇费用。</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第四十四条　职工被派遣出境工作，依据前往国家或者地区的法律应当参加当地工伤保险的，参加当地工伤保险，其国内工伤保险关系中止;不能参加当地工伤保险的，其国内工伤保险关系不中止。</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第四十五条　职工再次发生工伤，根据规定应当享受伤残津贴的，按照新认定的伤残等级享受伤残津贴待遇。</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lastRenderedPageBreak/>
        <w:t>第六章监督管理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第四十六条　经办机构具体承办工伤保险事务，履行下列职责：</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(一)根据省、自治区、直辖市人民政府规定，征收工伤保险费</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(二)核查用人单位的工资总额和职工人数，办理工伤保险登记，并负责保存用人单位缴费和职工享受工伤保险待遇情况的记录</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(三)进行工伤保险的调查、统计</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(四)按照规定管理工伤保险基金的支出</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(五)按照规定核定工伤保险待遇</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(六)为工伤职工或者其近亲属免费提供咨询服务。</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第四十七条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第四十八条　经办机构按照协议和国家有关目录、标准对工伤职工医疗费用、康复费用、辅助器具费用的使用情况进行核查，并按时足额结算费用。</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第四十九条　经办机构应当定期公布工伤保险基金的收支情况，及时向社会保险行政部门提出调整费率的建议。</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第五十条　社会保险行政部门、经办机构应当定期听取工伤职工、医疗机构、辅助器具配置机构以及社会各界对改进工伤保险工作的意见。</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第五十一条　社会保险行政部门依法对工伤保险费的征缴和工伤保险基金的支付情况进行监督检查。</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财政部门和审计机关依法对工伤保险基金的收支、管理情况进行监督。</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第五十二条　任何组织和个人对有关工伤保险的违法行为，有权举报。社会保险行政部门对举报应当及时调查，按照规定处理，并为举报人保密。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第五十三条　工会组织依法维护工伤职工的合法权益，对用人单位的工伤保险工作实行监督。</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第五十四条　职工与用人单位发生工伤待遇方面的争议，按照处理劳动争议的有关规定处理。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第五十五条　有下列情形之一的，有关单位或者个人可以依法申请行政复议，也可以依法向人民法院提起行政诉讼：</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(一)申请工伤认定的职工或者其近亲属、该职工所在单位对工伤认定申请不予受理的决定不服的;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(二)申请工伤认定的职工或者其近亲属、该职工所在单位对工伤认定结论不服的;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(三)用人单位对经办机构确定的单位缴费费率不服的;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(四)签订服务协议的医疗机构、辅助器具配置机构认为经办机构未履行有关协议或者规定的;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(五)工伤职工或者其近亲属对经办机构核定的工伤保险待遇有异议的。</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第七章法律责任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第五十六条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第五十七条　社会保险行政部门工作人员有下列情形之一的，依法给予处分;情节严重，构成犯罪的，依法追究刑事责任：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(一)无正当理由不受理工伤认定申请，或者弄虚作假将不符合工伤条件的人员认定为工伤职工的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(二)未妥善保管申请工伤认定的证据材料，致使有关证据灭失的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(三)收受当事人财物的。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第五十八条　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(一)未按规定保存用人单位缴费和职工享受工伤保险待遇情况记录的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(二)不按规定核定工伤保险待遇的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(三)收受当事人财物的。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第五十九条　医疗机构、辅助器具配置机构不按服务协议提供服务的，经办机构可以解除服务协议。</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经办机构不按时足额结算费用的，由社会保险行政部门责令改正;医疗机构、辅助器具配置机构可以解除服务协议。</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第六十条　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第六十一条　从事劳动能力鉴定的组织或者个人有下列情形之一的，由社会保险行政部门责令改正，处2000元以上1万元以下的罚款;情节严重，构成犯罪的，依法追究刑事责任：</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(一)提供虚假鉴定意见的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lastRenderedPageBreak/>
        <w:t>(二)提供虚假诊断证明的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(三)收受当事人财物的。</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第六十二条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依照本条例规定应当参加工伤保险而未参加工伤保险的用人单位职工发生工伤的，由该用人单位按照本条例规定的工伤保险待遇项目和标准支付费用。</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用人单位参加工伤保险并补缴应当缴纳的工伤保险费、滞纳金后，由工伤保险基金和用人单位依照本条例的规定支付新发生的费用。</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第六十三条　用人单位违反本条例第十九条的规定，拒不协助社会保险行政部门对事故进行调查核实的，由社会保险行政部门责令改正，处2000元以上2万元以下的罚款。</w:t>
      </w:r>
    </w:p>
    <w:p w:rsidR="004F5894" w:rsidRPr="004F5894" w:rsidRDefault="004F5894" w:rsidP="004F5894">
      <w:pPr>
        <w:widowControl/>
        <w:shd w:val="clear" w:color="auto" w:fill="FAFAFA"/>
        <w:spacing w:after="300" w:line="300" w:lineRule="atLeast"/>
        <w:ind w:firstLine="480"/>
        <w:jc w:val="center"/>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b/>
          <w:bCs/>
          <w:color w:val="333333"/>
          <w:kern w:val="0"/>
          <w:sz w:val="16"/>
        </w:rPr>
        <w:t>第八章附则</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第六十四条　本条例所称工资总额，是指用人单位直接支付给本单位全部职工的劳动报酬总额。</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第六十五条　公务员和参照公务员法管理的事业单位、社会团体的工作人员因工作遭受事故伤害或者患职业病的，由所在单位支付费用。具体办法由国务院社会保险行政部门会同国务院财政部门规定。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第六十六条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w:t>
      </w:r>
      <w:hyperlink r:id="rId19" w:tgtFrame="_blank" w:tooltip="童工" w:history="1">
        <w:r w:rsidRPr="004F5894">
          <w:rPr>
            <w:rFonts w:ascii="微软雅黑" w:eastAsia="微软雅黑" w:hAnsi="微软雅黑" w:cs="宋体" w:hint="eastAsia"/>
            <w:color w:val="0000FF"/>
            <w:kern w:val="0"/>
            <w:sz w:val="16"/>
            <w:u w:val="single"/>
          </w:rPr>
          <w:t>童工</w:t>
        </w:r>
      </w:hyperlink>
      <w:r w:rsidRPr="004F5894">
        <w:rPr>
          <w:rFonts w:ascii="微软雅黑" w:eastAsia="微软雅黑" w:hAnsi="微软雅黑" w:cs="宋体" w:hint="eastAsia"/>
          <w:color w:val="333333"/>
          <w:kern w:val="0"/>
          <w:sz w:val="16"/>
          <w:szCs w:val="16"/>
        </w:rPr>
        <w:t>，用人单位使用童工造成童工伤残、死亡的，由该单位向童工或者童工的近亲属给予一次性赔偿，赔偿标准不得低于本条例规定的工伤保险待遇。具体办法由国务院社会保险行政部门规定。</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前款规定的伤残职工或者死亡职工的近亲属就赔偿数额与单位发生争议的，以及前款规定的童工或者童工的近亲属就赔偿数额与单位发生争议的，按照</w:t>
      </w:r>
      <w:hyperlink r:id="rId20" w:tgtFrame="_blank" w:tooltip="劳动争议" w:history="1">
        <w:r w:rsidRPr="004F5894">
          <w:rPr>
            <w:rFonts w:ascii="微软雅黑" w:eastAsia="微软雅黑" w:hAnsi="微软雅黑" w:cs="宋体" w:hint="eastAsia"/>
            <w:color w:val="0000FF"/>
            <w:kern w:val="0"/>
            <w:sz w:val="16"/>
            <w:u w:val="single"/>
          </w:rPr>
          <w:t>劳动争议</w:t>
        </w:r>
      </w:hyperlink>
      <w:r w:rsidRPr="004F5894">
        <w:rPr>
          <w:rFonts w:ascii="微软雅黑" w:eastAsia="微软雅黑" w:hAnsi="微软雅黑" w:cs="宋体" w:hint="eastAsia"/>
          <w:color w:val="333333"/>
          <w:kern w:val="0"/>
          <w:sz w:val="16"/>
          <w:szCs w:val="16"/>
        </w:rPr>
        <w:t>的有关规定处理。</w:t>
      </w:r>
    </w:p>
    <w:p w:rsidR="004F5894" w:rsidRPr="004F5894" w:rsidRDefault="004F5894" w:rsidP="004F5894">
      <w:pPr>
        <w:widowControl/>
        <w:shd w:val="clear" w:color="auto" w:fill="FAFAFA"/>
        <w:spacing w:after="300" w:line="300" w:lineRule="atLeast"/>
        <w:ind w:firstLine="480"/>
        <w:jc w:val="left"/>
        <w:rPr>
          <w:rFonts w:ascii="微软雅黑" w:eastAsia="微软雅黑" w:hAnsi="微软雅黑" w:cs="宋体" w:hint="eastAsia"/>
          <w:color w:val="333333"/>
          <w:kern w:val="0"/>
          <w:sz w:val="16"/>
          <w:szCs w:val="16"/>
        </w:rPr>
      </w:pPr>
      <w:r w:rsidRPr="004F5894">
        <w:rPr>
          <w:rFonts w:ascii="微软雅黑" w:eastAsia="微软雅黑" w:hAnsi="微软雅黑" w:cs="宋体" w:hint="eastAsia"/>
          <w:color w:val="333333"/>
          <w:kern w:val="0"/>
          <w:sz w:val="16"/>
          <w:szCs w:val="16"/>
        </w:rPr>
        <w:t>第六十七条　本条例自2011年1月1日起施行。本条例施行前已受到事故伤害或者患职业病的职工尚未完成工伤认定的，按照本条例的规定执行。</w:t>
      </w:r>
    </w:p>
    <w:p w:rsidR="00544C50" w:rsidRPr="004F5894" w:rsidRDefault="00544C50"/>
    <w:sectPr w:rsidR="00544C50" w:rsidRPr="004F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50" w:rsidRDefault="00544C50" w:rsidP="004F5894">
      <w:r>
        <w:separator/>
      </w:r>
    </w:p>
  </w:endnote>
  <w:endnote w:type="continuationSeparator" w:id="1">
    <w:p w:rsidR="00544C50" w:rsidRDefault="00544C50" w:rsidP="004F5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50" w:rsidRDefault="00544C50" w:rsidP="004F5894">
      <w:r>
        <w:separator/>
      </w:r>
    </w:p>
  </w:footnote>
  <w:footnote w:type="continuationSeparator" w:id="1">
    <w:p w:rsidR="00544C50" w:rsidRDefault="00544C50" w:rsidP="004F5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894"/>
    <w:rsid w:val="004F5894"/>
    <w:rsid w:val="00544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58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894"/>
    <w:rPr>
      <w:sz w:val="18"/>
      <w:szCs w:val="18"/>
    </w:rPr>
  </w:style>
  <w:style w:type="paragraph" w:styleId="a4">
    <w:name w:val="footer"/>
    <w:basedOn w:val="a"/>
    <w:link w:val="Char0"/>
    <w:uiPriority w:val="99"/>
    <w:semiHidden/>
    <w:unhideWhenUsed/>
    <w:rsid w:val="004F5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894"/>
    <w:rPr>
      <w:sz w:val="18"/>
      <w:szCs w:val="18"/>
    </w:rPr>
  </w:style>
  <w:style w:type="character" w:customStyle="1" w:styleId="1Char">
    <w:name w:val="标题 1 Char"/>
    <w:basedOn w:val="a0"/>
    <w:link w:val="1"/>
    <w:uiPriority w:val="9"/>
    <w:rsid w:val="004F5894"/>
    <w:rPr>
      <w:rFonts w:ascii="宋体" w:eastAsia="宋体" w:hAnsi="宋体" w:cs="宋体"/>
      <w:b/>
      <w:bCs/>
      <w:kern w:val="36"/>
      <w:sz w:val="48"/>
      <w:szCs w:val="48"/>
    </w:rPr>
  </w:style>
  <w:style w:type="paragraph" w:styleId="a5">
    <w:name w:val="Normal (Web)"/>
    <w:basedOn w:val="a"/>
    <w:uiPriority w:val="99"/>
    <w:semiHidden/>
    <w:unhideWhenUsed/>
    <w:rsid w:val="004F589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F5894"/>
    <w:rPr>
      <w:color w:val="0000FF"/>
      <w:u w:val="single"/>
    </w:rPr>
  </w:style>
  <w:style w:type="character" w:styleId="a7">
    <w:name w:val="Strong"/>
    <w:basedOn w:val="a0"/>
    <w:uiPriority w:val="22"/>
    <w:qFormat/>
    <w:rsid w:val="004F5894"/>
    <w:rPr>
      <w:b/>
      <w:bCs/>
    </w:rPr>
  </w:style>
  <w:style w:type="paragraph" w:styleId="a8">
    <w:name w:val="Balloon Text"/>
    <w:basedOn w:val="a"/>
    <w:link w:val="Char1"/>
    <w:uiPriority w:val="99"/>
    <w:semiHidden/>
    <w:unhideWhenUsed/>
    <w:rsid w:val="004F5894"/>
    <w:rPr>
      <w:sz w:val="18"/>
      <w:szCs w:val="18"/>
    </w:rPr>
  </w:style>
  <w:style w:type="character" w:customStyle="1" w:styleId="Char1">
    <w:name w:val="批注框文本 Char"/>
    <w:basedOn w:val="a0"/>
    <w:link w:val="a8"/>
    <w:uiPriority w:val="99"/>
    <w:semiHidden/>
    <w:rsid w:val="004F5894"/>
    <w:rPr>
      <w:sz w:val="18"/>
      <w:szCs w:val="18"/>
    </w:rPr>
  </w:style>
</w:styles>
</file>

<file path=word/webSettings.xml><?xml version="1.0" encoding="utf-8"?>
<w:webSettings xmlns:r="http://schemas.openxmlformats.org/officeDocument/2006/relationships" xmlns:w="http://schemas.openxmlformats.org/wordprocessingml/2006/main">
  <w:divs>
    <w:div w:id="1110976442">
      <w:bodyDiv w:val="1"/>
      <w:marLeft w:val="0"/>
      <w:marRight w:val="0"/>
      <w:marTop w:val="0"/>
      <w:marBottom w:val="0"/>
      <w:divBdr>
        <w:top w:val="none" w:sz="0" w:space="0" w:color="auto"/>
        <w:left w:val="none" w:sz="0" w:space="0" w:color="auto"/>
        <w:bottom w:val="none" w:sz="0" w:space="0" w:color="auto"/>
        <w:right w:val="none" w:sz="0" w:space="0" w:color="auto"/>
      </w:divBdr>
      <w:divsChild>
        <w:div w:id="609043552">
          <w:marLeft w:val="0"/>
          <w:marRight w:val="0"/>
          <w:marTop w:val="150"/>
          <w:marBottom w:val="0"/>
          <w:divBdr>
            <w:top w:val="none" w:sz="0" w:space="0" w:color="auto"/>
            <w:left w:val="none" w:sz="0" w:space="0" w:color="auto"/>
            <w:bottom w:val="none" w:sz="0" w:space="0" w:color="auto"/>
            <w:right w:val="none" w:sz="0" w:space="0" w:color="auto"/>
          </w:divBdr>
          <w:divsChild>
            <w:div w:id="1454866225">
              <w:marLeft w:val="0"/>
              <w:marRight w:val="0"/>
              <w:marTop w:val="0"/>
              <w:marBottom w:val="0"/>
              <w:divBdr>
                <w:top w:val="none" w:sz="0" w:space="0" w:color="auto"/>
                <w:left w:val="none" w:sz="0" w:space="0" w:color="auto"/>
                <w:bottom w:val="none" w:sz="0" w:space="0" w:color="auto"/>
                <w:right w:val="none" w:sz="0" w:space="0" w:color="auto"/>
              </w:divBdr>
            </w:div>
          </w:divsChild>
        </w:div>
        <w:div w:id="85072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laws/jiaotongshigu/" TargetMode="External"/><Relationship Id="rId13" Type="http://schemas.openxmlformats.org/officeDocument/2006/relationships/hyperlink" Target="http://www.66law.cn/tiaoli/" TargetMode="External"/><Relationship Id="rId18" Type="http://schemas.openxmlformats.org/officeDocument/2006/relationships/hyperlink" Target="https://v.66law.cn/shuofa/gsf/pcd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66law.cn/lawyeroffice/" TargetMode="External"/><Relationship Id="rId12" Type="http://schemas.openxmlformats.org/officeDocument/2006/relationships/hyperlink" Target="http://www.66law.cn/special/sybx/" TargetMode="External"/><Relationship Id="rId17" Type="http://schemas.openxmlformats.org/officeDocument/2006/relationships/hyperlink" Target="http://www.66law.cn/question/4489338.aspx" TargetMode="External"/><Relationship Id="rId2" Type="http://schemas.openxmlformats.org/officeDocument/2006/relationships/settings" Target="settings.xml"/><Relationship Id="rId16" Type="http://schemas.openxmlformats.org/officeDocument/2006/relationships/hyperlink" Target="https://v.66law.cn/shuofa/ldjf/ldgx/" TargetMode="External"/><Relationship Id="rId20" Type="http://schemas.openxmlformats.org/officeDocument/2006/relationships/hyperlink" Target="http://www.66law.cn/special/ldzy/" TargetMode="External"/><Relationship Id="rId1" Type="http://schemas.openxmlformats.org/officeDocument/2006/relationships/styles" Target="styles.xml"/><Relationship Id="rId6" Type="http://schemas.openxmlformats.org/officeDocument/2006/relationships/hyperlink" Target="http://www.66law.cn/tiaoli/37.aspx" TargetMode="External"/><Relationship Id="rId11" Type="http://schemas.openxmlformats.org/officeDocument/2006/relationships/hyperlink" Target="http://www.66law.cn/special/czjmyb/" TargetMode="External"/><Relationship Id="rId5" Type="http://schemas.openxmlformats.org/officeDocument/2006/relationships/endnotes" Target="endnotes.xml"/><Relationship Id="rId15" Type="http://schemas.openxmlformats.org/officeDocument/2006/relationships/hyperlink" Target="http://www.66law.cn/question/5354472.aspx" TargetMode="External"/><Relationship Id="rId10" Type="http://schemas.openxmlformats.org/officeDocument/2006/relationships/hyperlink" Target="http://www.66law.cn/special/zybfz/" TargetMode="External"/><Relationship Id="rId19" Type="http://schemas.openxmlformats.org/officeDocument/2006/relationships/hyperlink" Target="http://www.66law.cn/topic2010/fdtgnl/" TargetMode="External"/><Relationship Id="rId4" Type="http://schemas.openxmlformats.org/officeDocument/2006/relationships/footnotes" Target="footnotes.xml"/><Relationship Id="rId9" Type="http://schemas.openxmlformats.org/officeDocument/2006/relationships/hyperlink" Target="http://www.66law.cn/special/xingzhengchufa/" TargetMode="External"/><Relationship Id="rId14" Type="http://schemas.openxmlformats.org/officeDocument/2006/relationships/hyperlink" Target="http://www.66law.cn/topic2012/2013jjcfxbz/"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2019-03-26T00:44:00Z</dcterms:created>
  <dcterms:modified xsi:type="dcterms:W3CDTF">2019-03-26T00:49:00Z</dcterms:modified>
</cp:coreProperties>
</file>